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F96BAAB" w:rsidR="002B7443" w:rsidRPr="002A6455" w:rsidRDefault="002B7443" w:rsidP="002B7443">
      <w:pPr>
        <w:pStyle w:val="FormFieldCaption1"/>
        <w:pBdr>
          <w:between w:val="single" w:sz="4" w:space="1" w:color="auto"/>
        </w:pBdr>
        <w:rPr>
          <w:sz w:val="22"/>
          <w:szCs w:val="22"/>
        </w:rPr>
      </w:pPr>
      <w:r w:rsidRPr="002A6455">
        <w:rPr>
          <w:sz w:val="22"/>
          <w:szCs w:val="22"/>
        </w:rPr>
        <w:t>NAME:</w:t>
      </w:r>
      <w:r w:rsidR="00E03323" w:rsidRPr="002A6455">
        <w:rPr>
          <w:sz w:val="22"/>
          <w:szCs w:val="22"/>
        </w:rPr>
        <w:t xml:space="preserve"> </w:t>
      </w:r>
      <w:r w:rsidR="00D16E53" w:rsidRPr="002A6455">
        <w:rPr>
          <w:sz w:val="22"/>
          <w:szCs w:val="22"/>
        </w:rPr>
        <w:t>S</w:t>
      </w:r>
      <w:r w:rsidR="001979A0">
        <w:rPr>
          <w:sz w:val="22"/>
          <w:szCs w:val="22"/>
        </w:rPr>
        <w:t>tein</w:t>
      </w:r>
      <w:r w:rsidR="00847A5C" w:rsidRPr="002A6455">
        <w:rPr>
          <w:sz w:val="22"/>
          <w:szCs w:val="22"/>
        </w:rPr>
        <w:t>, Aryeh David</w:t>
      </w:r>
    </w:p>
    <w:p w14:paraId="7FFF41C1" w14:textId="3F810AE7" w:rsidR="002B7443" w:rsidRPr="002A6455" w:rsidRDefault="00E047AD" w:rsidP="002B7443">
      <w:pPr>
        <w:pStyle w:val="FormFieldCaption1"/>
        <w:pBdr>
          <w:between w:val="single" w:sz="4" w:space="1" w:color="auto"/>
        </w:pBdr>
        <w:rPr>
          <w:sz w:val="22"/>
          <w:szCs w:val="22"/>
        </w:rPr>
      </w:pPr>
      <w:proofErr w:type="spellStart"/>
      <w:r w:rsidRPr="002A6455">
        <w:rPr>
          <w:sz w:val="22"/>
          <w:szCs w:val="22"/>
        </w:rPr>
        <w:t>eRA</w:t>
      </w:r>
      <w:proofErr w:type="spellEnd"/>
      <w:r w:rsidRPr="002A6455">
        <w:rPr>
          <w:sz w:val="22"/>
          <w:szCs w:val="22"/>
        </w:rPr>
        <w:t xml:space="preserve"> COMMONS USER NAME (credential, e.g., agency login)</w:t>
      </w:r>
      <w:r w:rsidR="002B7443" w:rsidRPr="002A6455">
        <w:rPr>
          <w:sz w:val="22"/>
          <w:szCs w:val="22"/>
        </w:rPr>
        <w:t>:</w:t>
      </w:r>
      <w:r w:rsidR="00E03323" w:rsidRPr="002A6455">
        <w:rPr>
          <w:sz w:val="22"/>
          <w:szCs w:val="22"/>
        </w:rPr>
        <w:t xml:space="preserve"> </w:t>
      </w:r>
      <w:proofErr w:type="spellStart"/>
      <w:r w:rsidR="00D16E53" w:rsidRPr="002A6455">
        <w:rPr>
          <w:sz w:val="22"/>
          <w:szCs w:val="22"/>
        </w:rPr>
        <w:t>aryehstein</w:t>
      </w:r>
      <w:proofErr w:type="spellEnd"/>
    </w:p>
    <w:p w14:paraId="74873D9A" w14:textId="4C6D0F6F" w:rsidR="002B7443" w:rsidRPr="002A6455" w:rsidRDefault="00E047AD" w:rsidP="002B7443">
      <w:pPr>
        <w:pStyle w:val="FormFieldCaption1"/>
        <w:pBdr>
          <w:between w:val="single" w:sz="4" w:space="1" w:color="auto"/>
        </w:pBdr>
        <w:rPr>
          <w:sz w:val="22"/>
          <w:szCs w:val="22"/>
        </w:rPr>
      </w:pPr>
      <w:r w:rsidRPr="002A6455">
        <w:rPr>
          <w:sz w:val="22"/>
          <w:szCs w:val="22"/>
        </w:rPr>
        <w:t>POSITION TITLE</w:t>
      </w:r>
      <w:r w:rsidR="002B7443" w:rsidRPr="002A6455">
        <w:rPr>
          <w:sz w:val="22"/>
          <w:szCs w:val="22"/>
        </w:rPr>
        <w:t>:</w:t>
      </w:r>
      <w:r w:rsidR="00D16E53" w:rsidRPr="002A6455">
        <w:rPr>
          <w:sz w:val="22"/>
          <w:szCs w:val="22"/>
        </w:rPr>
        <w:t xml:space="preserve"> Professor, Hubert Department of Global Health, Emory University</w:t>
      </w:r>
    </w:p>
    <w:p w14:paraId="035344DF" w14:textId="571DC801" w:rsidR="002B7443" w:rsidRPr="002A6455" w:rsidRDefault="002B7443" w:rsidP="002B7443">
      <w:pPr>
        <w:pStyle w:val="FormFieldCaption1"/>
        <w:pBdr>
          <w:between w:val="single" w:sz="4" w:space="1" w:color="auto"/>
        </w:pBdr>
        <w:rPr>
          <w:sz w:val="22"/>
          <w:szCs w:val="22"/>
        </w:rPr>
      </w:pPr>
      <w:r w:rsidRPr="002A6455">
        <w:rPr>
          <w:sz w:val="22"/>
          <w:szCs w:val="22"/>
        </w:rPr>
        <w:t xml:space="preserve">EDUCATION/TRAINING </w:t>
      </w:r>
      <w:r w:rsidRPr="002A6455">
        <w:rPr>
          <w:rStyle w:val="Emphasis"/>
          <w:i w:val="0"/>
          <w:iCs w:val="0"/>
          <w:sz w:val="22"/>
          <w:szCs w:val="22"/>
        </w:rPr>
        <w:t>(Begin with baccalaureate or other initial professional education, such as nursing, include postdoctoral training and residency training if applicable.</w:t>
      </w:r>
      <w:r w:rsidR="00C1247F" w:rsidRPr="002A6455">
        <w:rPr>
          <w:rStyle w:val="Emphasis"/>
          <w:i w:val="0"/>
          <w:iCs w:val="0"/>
          <w:sz w:val="22"/>
          <w:szCs w:val="22"/>
        </w:rPr>
        <w:t xml:space="preserve"> Add/delete rows as necessary.</w:t>
      </w:r>
      <w:r w:rsidRPr="002A6455">
        <w:rPr>
          <w:rStyle w:val="Emphasis"/>
          <w:i w:val="0"/>
          <w:iCs w:val="0"/>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2A6455"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2A6455" w:rsidRDefault="00933173" w:rsidP="000B5732">
            <w:pPr>
              <w:pStyle w:val="FormFieldCaption"/>
              <w:jc w:val="center"/>
              <w:rPr>
                <w:sz w:val="22"/>
                <w:szCs w:val="22"/>
              </w:rPr>
            </w:pPr>
            <w:r w:rsidRPr="002A6455">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2A6455" w:rsidRDefault="00933173" w:rsidP="000B5732">
            <w:pPr>
              <w:pStyle w:val="FormFieldCaption"/>
              <w:jc w:val="center"/>
              <w:rPr>
                <w:sz w:val="22"/>
                <w:szCs w:val="22"/>
              </w:rPr>
            </w:pPr>
            <w:r w:rsidRPr="002A6455">
              <w:rPr>
                <w:sz w:val="22"/>
                <w:szCs w:val="22"/>
              </w:rPr>
              <w:t>DEGREE</w:t>
            </w:r>
          </w:p>
          <w:p w14:paraId="0DEF5BC8" w14:textId="77777777" w:rsidR="00933173" w:rsidRPr="002A6455" w:rsidRDefault="00933173" w:rsidP="000B5732">
            <w:pPr>
              <w:pStyle w:val="FormFieldCaption"/>
              <w:jc w:val="center"/>
              <w:rPr>
                <w:rStyle w:val="Emphasis"/>
                <w:i w:val="0"/>
                <w:iCs w:val="0"/>
                <w:sz w:val="22"/>
                <w:szCs w:val="22"/>
              </w:rPr>
            </w:pPr>
            <w:r w:rsidRPr="002A6455">
              <w:rPr>
                <w:rStyle w:val="Emphasis"/>
                <w:i w:val="0"/>
                <w:iCs w:val="0"/>
                <w:sz w:val="22"/>
                <w:szCs w:val="22"/>
              </w:rPr>
              <w:t>(if applicable)</w:t>
            </w:r>
          </w:p>
          <w:p w14:paraId="32A0C014" w14:textId="77777777" w:rsidR="00933173" w:rsidRPr="002A6455" w:rsidRDefault="00933173" w:rsidP="000B5732">
            <w:pPr>
              <w:pStyle w:val="FormFieldCaption"/>
              <w:rPr>
                <w:sz w:val="22"/>
                <w:szCs w:val="22"/>
              </w:rPr>
            </w:pPr>
          </w:p>
        </w:tc>
        <w:tc>
          <w:tcPr>
            <w:tcW w:w="1584" w:type="dxa"/>
            <w:tcBorders>
              <w:top w:val="single" w:sz="4" w:space="0" w:color="auto"/>
              <w:bottom w:val="single" w:sz="4" w:space="0" w:color="auto"/>
            </w:tcBorders>
            <w:vAlign w:val="center"/>
          </w:tcPr>
          <w:p w14:paraId="4ED3B33F" w14:textId="77777777" w:rsidR="00C1247F" w:rsidRPr="002A6455" w:rsidRDefault="00C1247F" w:rsidP="000B5732">
            <w:pPr>
              <w:pStyle w:val="FormFieldCaption"/>
              <w:jc w:val="center"/>
              <w:rPr>
                <w:sz w:val="22"/>
                <w:szCs w:val="22"/>
              </w:rPr>
            </w:pPr>
            <w:r w:rsidRPr="002A6455">
              <w:rPr>
                <w:sz w:val="22"/>
                <w:szCs w:val="22"/>
              </w:rPr>
              <w:t>Completion Date</w:t>
            </w:r>
          </w:p>
          <w:p w14:paraId="76B4E15A" w14:textId="09B57E40" w:rsidR="00933173" w:rsidRPr="002A6455" w:rsidRDefault="00933173" w:rsidP="000B5732">
            <w:pPr>
              <w:pStyle w:val="FormFieldCaption"/>
              <w:jc w:val="center"/>
              <w:rPr>
                <w:sz w:val="22"/>
                <w:szCs w:val="22"/>
              </w:rPr>
            </w:pPr>
            <w:r w:rsidRPr="002A6455">
              <w:rPr>
                <w:sz w:val="22"/>
                <w:szCs w:val="22"/>
              </w:rPr>
              <w:t>MM/YYYY</w:t>
            </w:r>
          </w:p>
          <w:p w14:paraId="143620A6" w14:textId="77777777" w:rsidR="00933173" w:rsidRPr="002A6455"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2A6455" w:rsidRDefault="00933173" w:rsidP="000B5732">
            <w:pPr>
              <w:pStyle w:val="FormFieldCaption"/>
              <w:jc w:val="center"/>
              <w:rPr>
                <w:sz w:val="22"/>
                <w:szCs w:val="22"/>
              </w:rPr>
            </w:pPr>
            <w:r w:rsidRPr="002A6455">
              <w:rPr>
                <w:sz w:val="22"/>
                <w:szCs w:val="22"/>
              </w:rPr>
              <w:t>FIELD OF STUDY</w:t>
            </w:r>
          </w:p>
          <w:p w14:paraId="4198E5FC" w14:textId="77777777" w:rsidR="00933173" w:rsidRPr="002A6455" w:rsidRDefault="00933173" w:rsidP="000B5732">
            <w:pPr>
              <w:pStyle w:val="FormFieldCaption"/>
              <w:rPr>
                <w:sz w:val="22"/>
                <w:szCs w:val="22"/>
              </w:rPr>
            </w:pPr>
          </w:p>
        </w:tc>
      </w:tr>
      <w:tr w:rsidR="00D16E53" w:rsidRPr="002A6455" w14:paraId="5CD50646" w14:textId="77777777" w:rsidTr="005F0B12">
        <w:trPr>
          <w:cantSplit/>
          <w:trHeight w:val="395"/>
        </w:trPr>
        <w:tc>
          <w:tcPr>
            <w:tcW w:w="5220" w:type="dxa"/>
            <w:tcBorders>
              <w:top w:val="single" w:sz="4" w:space="0" w:color="auto"/>
            </w:tcBorders>
          </w:tcPr>
          <w:p w14:paraId="3B0C531B" w14:textId="182A366A" w:rsidR="00D16E53" w:rsidRPr="002A6455" w:rsidRDefault="00D16E53" w:rsidP="00D16E53">
            <w:pPr>
              <w:pStyle w:val="FormFieldCaption"/>
              <w:spacing w:before="20" w:after="20"/>
              <w:rPr>
                <w:sz w:val="22"/>
                <w:szCs w:val="22"/>
              </w:rPr>
            </w:pPr>
            <w:r w:rsidRPr="002A6455">
              <w:rPr>
                <w:sz w:val="22"/>
                <w:szCs w:val="22"/>
              </w:rPr>
              <w:t>Queen Elizabeth College, University of London, London UK</w:t>
            </w:r>
          </w:p>
        </w:tc>
        <w:tc>
          <w:tcPr>
            <w:tcW w:w="1440" w:type="dxa"/>
            <w:tcBorders>
              <w:top w:val="single" w:sz="4" w:space="0" w:color="auto"/>
            </w:tcBorders>
          </w:tcPr>
          <w:p w14:paraId="62DD05C1" w14:textId="287A9F1D" w:rsidR="00D16E53" w:rsidRPr="002A6455" w:rsidRDefault="00D16E53" w:rsidP="00D16E53">
            <w:pPr>
              <w:pStyle w:val="FormFieldCaption"/>
              <w:spacing w:before="20" w:after="20"/>
              <w:jc w:val="center"/>
              <w:rPr>
                <w:sz w:val="22"/>
                <w:szCs w:val="22"/>
              </w:rPr>
            </w:pPr>
            <w:r w:rsidRPr="002A6455">
              <w:rPr>
                <w:sz w:val="22"/>
                <w:szCs w:val="22"/>
              </w:rPr>
              <w:t>BSc</w:t>
            </w:r>
            <w:r w:rsidR="00847A5C" w:rsidRPr="002A6455">
              <w:rPr>
                <w:sz w:val="22"/>
                <w:szCs w:val="22"/>
              </w:rPr>
              <w:t xml:space="preserve"> </w:t>
            </w:r>
            <w:r w:rsidRPr="002A6455">
              <w:rPr>
                <w:sz w:val="22"/>
                <w:szCs w:val="22"/>
              </w:rPr>
              <w:t>(High Honors)</w:t>
            </w:r>
          </w:p>
        </w:tc>
        <w:tc>
          <w:tcPr>
            <w:tcW w:w="1584" w:type="dxa"/>
            <w:tcBorders>
              <w:top w:val="single" w:sz="4" w:space="0" w:color="auto"/>
            </w:tcBorders>
          </w:tcPr>
          <w:p w14:paraId="543299E0" w14:textId="24276902" w:rsidR="00D16E53" w:rsidRPr="002A6455" w:rsidRDefault="00D16E53" w:rsidP="00D16E53">
            <w:pPr>
              <w:pStyle w:val="FormFieldCaption"/>
              <w:spacing w:before="20" w:after="20"/>
              <w:jc w:val="center"/>
              <w:rPr>
                <w:sz w:val="22"/>
                <w:szCs w:val="22"/>
              </w:rPr>
            </w:pPr>
            <w:r w:rsidRPr="002A6455">
              <w:rPr>
                <w:sz w:val="22"/>
                <w:szCs w:val="22"/>
              </w:rPr>
              <w:t>06/1984</w:t>
            </w:r>
          </w:p>
        </w:tc>
        <w:tc>
          <w:tcPr>
            <w:tcW w:w="2592" w:type="dxa"/>
            <w:tcBorders>
              <w:top w:val="single" w:sz="4" w:space="0" w:color="auto"/>
            </w:tcBorders>
          </w:tcPr>
          <w:p w14:paraId="7BC5582F" w14:textId="16F43670" w:rsidR="00D16E53" w:rsidRPr="002A6455" w:rsidRDefault="00D16E53" w:rsidP="00D16E53">
            <w:pPr>
              <w:pStyle w:val="FormFieldCaption"/>
              <w:spacing w:before="20" w:after="20"/>
              <w:rPr>
                <w:sz w:val="22"/>
                <w:szCs w:val="22"/>
              </w:rPr>
            </w:pPr>
            <w:r w:rsidRPr="002A6455">
              <w:rPr>
                <w:sz w:val="22"/>
                <w:szCs w:val="22"/>
              </w:rPr>
              <w:t>Nutrition</w:t>
            </w:r>
          </w:p>
        </w:tc>
      </w:tr>
      <w:tr w:rsidR="00D16E53" w:rsidRPr="002A6455" w14:paraId="1515F345" w14:textId="77777777" w:rsidTr="005F0B12">
        <w:trPr>
          <w:cantSplit/>
          <w:trHeight w:val="395"/>
        </w:trPr>
        <w:tc>
          <w:tcPr>
            <w:tcW w:w="5220" w:type="dxa"/>
          </w:tcPr>
          <w:p w14:paraId="7DED23E7" w14:textId="31D92FD2" w:rsidR="00D16E53" w:rsidRPr="002A6455" w:rsidRDefault="00D16E53" w:rsidP="00D16E53">
            <w:pPr>
              <w:pStyle w:val="FormFieldCaption"/>
              <w:spacing w:before="20" w:after="20"/>
              <w:rPr>
                <w:sz w:val="22"/>
                <w:szCs w:val="22"/>
              </w:rPr>
            </w:pPr>
            <w:r w:rsidRPr="002A6455">
              <w:rPr>
                <w:sz w:val="22"/>
                <w:szCs w:val="22"/>
              </w:rPr>
              <w:t>Columbia University, New York NY, USA</w:t>
            </w:r>
          </w:p>
        </w:tc>
        <w:tc>
          <w:tcPr>
            <w:tcW w:w="1440" w:type="dxa"/>
          </w:tcPr>
          <w:p w14:paraId="0D874BFC" w14:textId="740C498D" w:rsidR="00D16E53" w:rsidRPr="002A6455" w:rsidRDefault="00D16E53" w:rsidP="00D16E53">
            <w:pPr>
              <w:pStyle w:val="FormFieldCaption"/>
              <w:spacing w:before="20" w:after="20"/>
              <w:jc w:val="center"/>
              <w:rPr>
                <w:sz w:val="22"/>
                <w:szCs w:val="22"/>
              </w:rPr>
            </w:pPr>
            <w:r w:rsidRPr="002A6455">
              <w:rPr>
                <w:sz w:val="22"/>
                <w:szCs w:val="22"/>
              </w:rPr>
              <w:t>MPH</w:t>
            </w:r>
          </w:p>
        </w:tc>
        <w:tc>
          <w:tcPr>
            <w:tcW w:w="1584" w:type="dxa"/>
          </w:tcPr>
          <w:p w14:paraId="1A7AA7CA" w14:textId="166EA441" w:rsidR="00D16E53" w:rsidRPr="002A6455" w:rsidRDefault="00D16E53" w:rsidP="00D16E53">
            <w:pPr>
              <w:pStyle w:val="FormFieldCaption"/>
              <w:spacing w:before="20" w:after="20"/>
              <w:jc w:val="center"/>
              <w:rPr>
                <w:sz w:val="22"/>
                <w:szCs w:val="22"/>
              </w:rPr>
            </w:pPr>
            <w:r w:rsidRPr="002A6455">
              <w:rPr>
                <w:sz w:val="22"/>
                <w:szCs w:val="22"/>
              </w:rPr>
              <w:t>05/1989</w:t>
            </w:r>
          </w:p>
        </w:tc>
        <w:tc>
          <w:tcPr>
            <w:tcW w:w="2592" w:type="dxa"/>
          </w:tcPr>
          <w:p w14:paraId="4CC74E5C" w14:textId="2DA0192C" w:rsidR="00D16E53" w:rsidRPr="002A6455" w:rsidRDefault="00D16E53" w:rsidP="00D16E53">
            <w:pPr>
              <w:pStyle w:val="FormFieldCaption"/>
              <w:spacing w:before="20" w:after="20"/>
              <w:rPr>
                <w:sz w:val="22"/>
                <w:szCs w:val="22"/>
              </w:rPr>
            </w:pPr>
            <w:r w:rsidRPr="002A6455">
              <w:rPr>
                <w:sz w:val="22"/>
                <w:szCs w:val="22"/>
              </w:rPr>
              <w:t>Epidemiology</w:t>
            </w:r>
          </w:p>
        </w:tc>
      </w:tr>
      <w:tr w:rsidR="00D16E53" w:rsidRPr="002A6455" w14:paraId="51E27C1C" w14:textId="77777777" w:rsidTr="005F0B12">
        <w:trPr>
          <w:cantSplit/>
          <w:trHeight w:val="395"/>
        </w:trPr>
        <w:tc>
          <w:tcPr>
            <w:tcW w:w="5220" w:type="dxa"/>
          </w:tcPr>
          <w:p w14:paraId="66BC8FF0" w14:textId="71F2725E" w:rsidR="00D16E53" w:rsidRPr="002A6455" w:rsidRDefault="00D16E53" w:rsidP="00D16E53">
            <w:pPr>
              <w:pStyle w:val="FormFieldCaption"/>
              <w:spacing w:before="20" w:after="20"/>
              <w:rPr>
                <w:sz w:val="22"/>
                <w:szCs w:val="22"/>
              </w:rPr>
            </w:pPr>
            <w:r w:rsidRPr="002A6455">
              <w:rPr>
                <w:sz w:val="22"/>
                <w:szCs w:val="22"/>
              </w:rPr>
              <w:t>Columbia University, New York NY, USA</w:t>
            </w:r>
          </w:p>
        </w:tc>
        <w:tc>
          <w:tcPr>
            <w:tcW w:w="1440" w:type="dxa"/>
          </w:tcPr>
          <w:p w14:paraId="6AEADABA" w14:textId="6DC97D0C" w:rsidR="00D16E53" w:rsidRPr="002A6455" w:rsidRDefault="00D16E53" w:rsidP="00D16E53">
            <w:pPr>
              <w:pStyle w:val="FormFieldCaption"/>
              <w:spacing w:before="20" w:after="20"/>
              <w:jc w:val="center"/>
              <w:rPr>
                <w:sz w:val="22"/>
                <w:szCs w:val="22"/>
              </w:rPr>
            </w:pPr>
            <w:r w:rsidRPr="002A6455">
              <w:rPr>
                <w:sz w:val="22"/>
                <w:szCs w:val="22"/>
              </w:rPr>
              <w:t>PhD</w:t>
            </w:r>
          </w:p>
        </w:tc>
        <w:tc>
          <w:tcPr>
            <w:tcW w:w="1584" w:type="dxa"/>
          </w:tcPr>
          <w:p w14:paraId="4ED60B07" w14:textId="78204376" w:rsidR="00D16E53" w:rsidRPr="002A6455" w:rsidRDefault="00D16E53" w:rsidP="00D16E53">
            <w:pPr>
              <w:pStyle w:val="FormFieldCaption"/>
              <w:spacing w:before="20" w:after="20"/>
              <w:jc w:val="center"/>
              <w:rPr>
                <w:sz w:val="22"/>
                <w:szCs w:val="22"/>
              </w:rPr>
            </w:pPr>
            <w:r w:rsidRPr="002A6455">
              <w:rPr>
                <w:sz w:val="22"/>
                <w:szCs w:val="22"/>
              </w:rPr>
              <w:t>05/1992</w:t>
            </w:r>
          </w:p>
        </w:tc>
        <w:tc>
          <w:tcPr>
            <w:tcW w:w="2592" w:type="dxa"/>
          </w:tcPr>
          <w:p w14:paraId="2303550C" w14:textId="08C90E51" w:rsidR="00D16E53" w:rsidRPr="002A6455" w:rsidRDefault="00D16E53" w:rsidP="00D16E53">
            <w:pPr>
              <w:pStyle w:val="FormFieldCaption"/>
              <w:spacing w:before="20" w:after="20"/>
              <w:rPr>
                <w:sz w:val="22"/>
                <w:szCs w:val="22"/>
              </w:rPr>
            </w:pPr>
            <w:r w:rsidRPr="002A6455">
              <w:rPr>
                <w:sz w:val="22"/>
                <w:szCs w:val="22"/>
              </w:rPr>
              <w:t>Epidemiology</w:t>
            </w:r>
          </w:p>
        </w:tc>
      </w:tr>
    </w:tbl>
    <w:p w14:paraId="00977992" w14:textId="5093BB79" w:rsidR="002C51BC" w:rsidRPr="002A6455" w:rsidRDefault="002C51BC" w:rsidP="002C51BC">
      <w:pPr>
        <w:pStyle w:val="DataField11pt-Single"/>
        <w:rPr>
          <w:rStyle w:val="Strong"/>
          <w:szCs w:val="22"/>
        </w:rPr>
      </w:pPr>
      <w:r w:rsidRPr="002A6455">
        <w:rPr>
          <w:rStyle w:val="Strong"/>
          <w:szCs w:val="22"/>
        </w:rPr>
        <w:t>A.</w:t>
      </w:r>
      <w:r w:rsidRPr="002A6455">
        <w:rPr>
          <w:rStyle w:val="Strong"/>
          <w:szCs w:val="22"/>
        </w:rPr>
        <w:tab/>
        <w:t>Personal Statement</w:t>
      </w:r>
    </w:p>
    <w:p w14:paraId="0C6F2536" w14:textId="698073AC" w:rsidR="006711D3" w:rsidRPr="002A6455" w:rsidRDefault="006C4B92" w:rsidP="00E81178">
      <w:pPr>
        <w:pStyle w:val="BodyText"/>
        <w:kinsoku w:val="0"/>
        <w:overflowPunct w:val="0"/>
        <w:spacing w:before="120"/>
        <w:ind w:right="158"/>
        <w:jc w:val="both"/>
        <w:rPr>
          <w:rFonts w:cs="Arial"/>
          <w:szCs w:val="22"/>
        </w:rPr>
      </w:pPr>
      <w:r w:rsidRPr="002A6455">
        <w:rPr>
          <w:rFonts w:cs="Arial"/>
          <w:szCs w:val="22"/>
        </w:rPr>
        <w:t xml:space="preserve">I have the qualifications and experience to </w:t>
      </w:r>
      <w:r w:rsidR="00B567E3">
        <w:rPr>
          <w:rFonts w:cs="Arial"/>
          <w:szCs w:val="22"/>
        </w:rPr>
        <w:t xml:space="preserve">lead this investigation into the </w:t>
      </w:r>
      <w:r w:rsidR="007F07FF">
        <w:rPr>
          <w:rFonts w:cs="Arial"/>
          <w:szCs w:val="22"/>
        </w:rPr>
        <w:t>mechanisms through which nutrition interventions in early life impact cardiometabolic disease risk in middle-adulthood</w:t>
      </w:r>
      <w:r w:rsidR="00B567E3">
        <w:rPr>
          <w:rFonts w:cs="Arial"/>
          <w:szCs w:val="22"/>
        </w:rPr>
        <w:t xml:space="preserve">, using the INCAP Nutrition Supplementation </w:t>
      </w:r>
      <w:r w:rsidR="002C30AF">
        <w:rPr>
          <w:rFonts w:cs="Arial"/>
          <w:szCs w:val="22"/>
        </w:rPr>
        <w:t>Trial</w:t>
      </w:r>
      <w:r w:rsidR="00B567E3">
        <w:rPr>
          <w:rFonts w:cs="Arial"/>
          <w:szCs w:val="22"/>
        </w:rPr>
        <w:t xml:space="preserve"> Cohort (INS</w:t>
      </w:r>
      <w:r w:rsidR="002C30AF">
        <w:rPr>
          <w:rFonts w:cs="Arial"/>
          <w:szCs w:val="22"/>
        </w:rPr>
        <w:t>T</w:t>
      </w:r>
      <w:r w:rsidR="00B567E3">
        <w:rPr>
          <w:rFonts w:cs="Arial"/>
          <w:szCs w:val="22"/>
        </w:rPr>
        <w:t>C) study</w:t>
      </w:r>
      <w:r w:rsidRPr="002A6455">
        <w:rPr>
          <w:rFonts w:cs="Arial"/>
          <w:color w:val="000000"/>
          <w:szCs w:val="22"/>
        </w:rPr>
        <w:t xml:space="preserve">. </w:t>
      </w:r>
      <w:r w:rsidR="00D16E53" w:rsidRPr="002A6455">
        <w:rPr>
          <w:rFonts w:cs="Arial"/>
          <w:szCs w:val="22"/>
        </w:rPr>
        <w:t>By training,</w:t>
      </w:r>
      <w:r w:rsidR="006711D3">
        <w:rPr>
          <w:rFonts w:cs="Arial"/>
          <w:szCs w:val="22"/>
        </w:rPr>
        <w:t xml:space="preserve"> </w:t>
      </w:r>
      <w:r w:rsidR="00D16E53" w:rsidRPr="002A6455">
        <w:rPr>
          <w:rFonts w:cs="Arial"/>
          <w:szCs w:val="22"/>
        </w:rPr>
        <w:t>I am a life-course epidemiologist</w:t>
      </w:r>
      <w:r w:rsidR="00D16E53" w:rsidRPr="002A6455">
        <w:rPr>
          <w:rFonts w:cs="Arial"/>
          <w:spacing w:val="-7"/>
          <w:szCs w:val="22"/>
        </w:rPr>
        <w:t xml:space="preserve"> </w:t>
      </w:r>
      <w:r w:rsidR="00D16E53" w:rsidRPr="002A6455">
        <w:rPr>
          <w:rFonts w:cs="Arial"/>
          <w:szCs w:val="22"/>
        </w:rPr>
        <w:t>with</w:t>
      </w:r>
      <w:r w:rsidR="00D16E53" w:rsidRPr="002A6455">
        <w:rPr>
          <w:rFonts w:cs="Arial"/>
          <w:spacing w:val="-6"/>
          <w:szCs w:val="22"/>
        </w:rPr>
        <w:t xml:space="preserve"> </w:t>
      </w:r>
      <w:r w:rsidRPr="002A6455">
        <w:rPr>
          <w:rFonts w:cs="Arial"/>
          <w:spacing w:val="-6"/>
          <w:szCs w:val="22"/>
        </w:rPr>
        <w:t xml:space="preserve">over </w:t>
      </w:r>
      <w:r w:rsidRPr="002A6455">
        <w:rPr>
          <w:rFonts w:cs="Arial"/>
          <w:szCs w:val="22"/>
        </w:rPr>
        <w:t>30</w:t>
      </w:r>
      <w:r w:rsidR="00D16E53" w:rsidRPr="002A6455">
        <w:rPr>
          <w:rFonts w:cs="Arial"/>
          <w:spacing w:val="-6"/>
          <w:szCs w:val="22"/>
        </w:rPr>
        <w:t xml:space="preserve"> </w:t>
      </w:r>
      <w:r w:rsidR="00D16E53" w:rsidRPr="002A6455">
        <w:rPr>
          <w:rFonts w:cs="Arial"/>
          <w:szCs w:val="22"/>
        </w:rPr>
        <w:t>years</w:t>
      </w:r>
      <w:r w:rsidR="00D16E53" w:rsidRPr="002A6455">
        <w:rPr>
          <w:rFonts w:cs="Arial"/>
          <w:spacing w:val="-5"/>
          <w:szCs w:val="22"/>
        </w:rPr>
        <w:t xml:space="preserve"> </w:t>
      </w:r>
      <w:r w:rsidR="00D16E53" w:rsidRPr="002A6455">
        <w:rPr>
          <w:rFonts w:cs="Arial"/>
          <w:szCs w:val="22"/>
        </w:rPr>
        <w:t>of</w:t>
      </w:r>
      <w:r w:rsidR="00D16E53" w:rsidRPr="002A6455">
        <w:rPr>
          <w:rFonts w:cs="Arial"/>
          <w:spacing w:val="-7"/>
          <w:szCs w:val="22"/>
        </w:rPr>
        <w:t xml:space="preserve"> </w:t>
      </w:r>
      <w:r w:rsidR="00D16E53" w:rsidRPr="002A6455">
        <w:rPr>
          <w:rFonts w:cs="Arial"/>
          <w:szCs w:val="22"/>
        </w:rPr>
        <w:t>research</w:t>
      </w:r>
      <w:r w:rsidR="00D16E53" w:rsidRPr="002A6455">
        <w:rPr>
          <w:rFonts w:cs="Arial"/>
          <w:spacing w:val="-6"/>
          <w:szCs w:val="22"/>
        </w:rPr>
        <w:t xml:space="preserve"> </w:t>
      </w:r>
      <w:r w:rsidR="00D16E53" w:rsidRPr="002A6455">
        <w:rPr>
          <w:rFonts w:cs="Arial"/>
          <w:szCs w:val="22"/>
        </w:rPr>
        <w:t>experience</w:t>
      </w:r>
      <w:r w:rsidR="00D16E53" w:rsidRPr="002A6455">
        <w:rPr>
          <w:rFonts w:cs="Arial"/>
          <w:spacing w:val="-6"/>
          <w:szCs w:val="22"/>
        </w:rPr>
        <w:t xml:space="preserve"> </w:t>
      </w:r>
      <w:r w:rsidR="00D16E53" w:rsidRPr="002A6455">
        <w:rPr>
          <w:rFonts w:cs="Arial"/>
          <w:szCs w:val="22"/>
        </w:rPr>
        <w:t>in</w:t>
      </w:r>
      <w:r w:rsidR="00D16E53" w:rsidRPr="002A6455">
        <w:rPr>
          <w:rFonts w:cs="Arial"/>
          <w:spacing w:val="-7"/>
          <w:szCs w:val="22"/>
        </w:rPr>
        <w:t xml:space="preserve"> </w:t>
      </w:r>
      <w:r w:rsidR="00D16E53" w:rsidRPr="002A6455">
        <w:rPr>
          <w:rFonts w:cs="Arial"/>
          <w:szCs w:val="22"/>
        </w:rPr>
        <w:t>intergenerational</w:t>
      </w:r>
      <w:r w:rsidR="00D16E53" w:rsidRPr="002A6455">
        <w:rPr>
          <w:rFonts w:cs="Arial"/>
          <w:spacing w:val="-6"/>
          <w:szCs w:val="22"/>
        </w:rPr>
        <w:t xml:space="preserve"> </w:t>
      </w:r>
      <w:r w:rsidR="00D16E53" w:rsidRPr="002A6455">
        <w:rPr>
          <w:rFonts w:cs="Arial"/>
          <w:szCs w:val="22"/>
        </w:rPr>
        <w:t>studies</w:t>
      </w:r>
      <w:r w:rsidR="00D16E53" w:rsidRPr="002A6455">
        <w:rPr>
          <w:rFonts w:cs="Arial"/>
          <w:spacing w:val="-5"/>
          <w:szCs w:val="22"/>
        </w:rPr>
        <w:t xml:space="preserve"> </w:t>
      </w:r>
      <w:r w:rsidR="00D16E53" w:rsidRPr="002A6455">
        <w:rPr>
          <w:rFonts w:cs="Arial"/>
          <w:szCs w:val="22"/>
        </w:rPr>
        <w:t>of</w:t>
      </w:r>
      <w:r w:rsidR="00D16E53" w:rsidRPr="002A6455">
        <w:rPr>
          <w:rFonts w:cs="Arial"/>
          <w:spacing w:val="-7"/>
          <w:szCs w:val="22"/>
        </w:rPr>
        <w:t xml:space="preserve"> </w:t>
      </w:r>
      <w:r w:rsidR="00D16E53" w:rsidRPr="002A6455">
        <w:rPr>
          <w:rFonts w:cs="Arial"/>
          <w:szCs w:val="22"/>
        </w:rPr>
        <w:t>the</w:t>
      </w:r>
      <w:r w:rsidR="00D16E53" w:rsidRPr="002A6455">
        <w:rPr>
          <w:rFonts w:cs="Arial"/>
          <w:spacing w:val="-6"/>
          <w:szCs w:val="22"/>
        </w:rPr>
        <w:t xml:space="preserve"> </w:t>
      </w:r>
      <w:r w:rsidR="00D16E53" w:rsidRPr="002A6455">
        <w:rPr>
          <w:rFonts w:cs="Arial"/>
          <w:szCs w:val="22"/>
        </w:rPr>
        <w:t>growth</w:t>
      </w:r>
      <w:r w:rsidR="00D16E53" w:rsidRPr="002A6455">
        <w:rPr>
          <w:rFonts w:cs="Arial"/>
          <w:spacing w:val="-7"/>
          <w:szCs w:val="22"/>
        </w:rPr>
        <w:t xml:space="preserve"> </w:t>
      </w:r>
      <w:r w:rsidR="00D16E53" w:rsidRPr="002A6455">
        <w:rPr>
          <w:rFonts w:cs="Arial"/>
          <w:szCs w:val="22"/>
        </w:rPr>
        <w:t>and</w:t>
      </w:r>
      <w:r w:rsidR="00D16E53" w:rsidRPr="002A6455">
        <w:rPr>
          <w:rFonts w:cs="Arial"/>
          <w:spacing w:val="-6"/>
          <w:szCs w:val="22"/>
        </w:rPr>
        <w:t xml:space="preserve"> </w:t>
      </w:r>
      <w:r w:rsidR="00D16E53" w:rsidRPr="002A6455">
        <w:rPr>
          <w:rFonts w:cs="Arial"/>
          <w:szCs w:val="22"/>
        </w:rPr>
        <w:t>physical and cognitive development of children as they develop into adults. My work is centered around the paradigm that specific prenatal or early postnatal exposures shape susceptibility and resilience to later exposures, and that careful examination of the interaction between the earlier and later exposures will advance our understanding of the development of health and well-being over the life course. My expertise is in longitudinal research,</w:t>
      </w:r>
      <w:r w:rsidR="00D16E53" w:rsidRPr="002A6455">
        <w:rPr>
          <w:rFonts w:cs="Arial"/>
          <w:spacing w:val="-8"/>
          <w:szCs w:val="22"/>
        </w:rPr>
        <w:t xml:space="preserve"> </w:t>
      </w:r>
      <w:r w:rsidR="00D16E53" w:rsidRPr="002A6455">
        <w:rPr>
          <w:rFonts w:cs="Arial"/>
          <w:szCs w:val="22"/>
        </w:rPr>
        <w:t>especially</w:t>
      </w:r>
      <w:r w:rsidR="00D16E53" w:rsidRPr="002A6455">
        <w:rPr>
          <w:rFonts w:cs="Arial"/>
          <w:spacing w:val="-9"/>
          <w:szCs w:val="22"/>
        </w:rPr>
        <w:t xml:space="preserve"> </w:t>
      </w:r>
      <w:r w:rsidR="00D16E53" w:rsidRPr="002A6455">
        <w:rPr>
          <w:rFonts w:cs="Arial"/>
          <w:szCs w:val="22"/>
        </w:rPr>
        <w:t>in</w:t>
      </w:r>
      <w:r w:rsidR="00D16E53" w:rsidRPr="002A6455">
        <w:rPr>
          <w:rFonts w:cs="Arial"/>
          <w:spacing w:val="-8"/>
          <w:szCs w:val="22"/>
        </w:rPr>
        <w:t xml:space="preserve"> </w:t>
      </w:r>
      <w:r w:rsidR="00D16E53" w:rsidRPr="002A6455">
        <w:rPr>
          <w:rFonts w:cs="Arial"/>
          <w:szCs w:val="22"/>
        </w:rPr>
        <w:t>prospective,</w:t>
      </w:r>
      <w:r w:rsidR="00D16E53" w:rsidRPr="002A6455">
        <w:rPr>
          <w:rFonts w:cs="Arial"/>
          <w:spacing w:val="-7"/>
          <w:szCs w:val="22"/>
        </w:rPr>
        <w:t xml:space="preserve"> </w:t>
      </w:r>
      <w:r w:rsidR="00D16E53" w:rsidRPr="002A6455">
        <w:rPr>
          <w:rFonts w:cs="Arial"/>
          <w:szCs w:val="22"/>
        </w:rPr>
        <w:t>repeated-measures</w:t>
      </w:r>
      <w:r w:rsidR="00D16E53" w:rsidRPr="002A6455">
        <w:rPr>
          <w:rFonts w:cs="Arial"/>
          <w:spacing w:val="-8"/>
          <w:szCs w:val="22"/>
        </w:rPr>
        <w:t xml:space="preserve"> </w:t>
      </w:r>
      <w:r w:rsidR="00D16E53" w:rsidRPr="002A6455">
        <w:rPr>
          <w:rFonts w:cs="Arial"/>
          <w:szCs w:val="22"/>
        </w:rPr>
        <w:t>studies</w:t>
      </w:r>
      <w:r w:rsidR="00D16E53" w:rsidRPr="002A6455">
        <w:rPr>
          <w:rFonts w:cs="Arial"/>
          <w:spacing w:val="-8"/>
          <w:szCs w:val="22"/>
        </w:rPr>
        <w:t xml:space="preserve"> </w:t>
      </w:r>
      <w:r w:rsidR="00D16E53" w:rsidRPr="002A6455">
        <w:rPr>
          <w:rFonts w:cs="Arial"/>
          <w:szCs w:val="22"/>
        </w:rPr>
        <w:t>of</w:t>
      </w:r>
      <w:r w:rsidR="00D16E53" w:rsidRPr="002A6455">
        <w:rPr>
          <w:rFonts w:cs="Arial"/>
          <w:spacing w:val="-8"/>
          <w:szCs w:val="22"/>
        </w:rPr>
        <w:t xml:space="preserve"> </w:t>
      </w:r>
      <w:r w:rsidR="00D16E53" w:rsidRPr="002A6455">
        <w:rPr>
          <w:rFonts w:cs="Arial"/>
          <w:szCs w:val="22"/>
        </w:rPr>
        <w:t>growth</w:t>
      </w:r>
      <w:r w:rsidR="00D16E53" w:rsidRPr="002A6455">
        <w:rPr>
          <w:rFonts w:cs="Arial"/>
          <w:spacing w:val="-8"/>
          <w:szCs w:val="22"/>
        </w:rPr>
        <w:t xml:space="preserve"> </w:t>
      </w:r>
      <w:r w:rsidR="00D16E53" w:rsidRPr="002A6455">
        <w:rPr>
          <w:rFonts w:cs="Arial"/>
          <w:szCs w:val="22"/>
        </w:rPr>
        <w:t>and</w:t>
      </w:r>
      <w:r w:rsidR="00D16E53" w:rsidRPr="002A6455">
        <w:rPr>
          <w:rFonts w:cs="Arial"/>
          <w:spacing w:val="-8"/>
          <w:szCs w:val="22"/>
        </w:rPr>
        <w:t xml:space="preserve"> </w:t>
      </w:r>
      <w:r w:rsidR="00D16E53" w:rsidRPr="002A6455">
        <w:rPr>
          <w:rFonts w:cs="Arial"/>
          <w:szCs w:val="22"/>
        </w:rPr>
        <w:t>development</w:t>
      </w:r>
      <w:r w:rsidR="00D16E53" w:rsidRPr="002A6455">
        <w:rPr>
          <w:rFonts w:cs="Arial"/>
          <w:spacing w:val="-8"/>
          <w:szCs w:val="22"/>
        </w:rPr>
        <w:t xml:space="preserve"> </w:t>
      </w:r>
      <w:r w:rsidR="00D16E53" w:rsidRPr="002A6455">
        <w:rPr>
          <w:rFonts w:cs="Arial"/>
          <w:szCs w:val="22"/>
        </w:rPr>
        <w:t>over</w:t>
      </w:r>
      <w:r w:rsidR="00D16E53" w:rsidRPr="002A6455">
        <w:rPr>
          <w:rFonts w:cs="Arial"/>
          <w:spacing w:val="-8"/>
          <w:szCs w:val="22"/>
        </w:rPr>
        <w:t xml:space="preserve"> </w:t>
      </w:r>
      <w:r w:rsidR="00D16E53" w:rsidRPr="002A6455">
        <w:rPr>
          <w:rFonts w:cs="Arial"/>
          <w:szCs w:val="22"/>
        </w:rPr>
        <w:t>the</w:t>
      </w:r>
      <w:r w:rsidR="00D16E53" w:rsidRPr="002A6455">
        <w:rPr>
          <w:rFonts w:cs="Arial"/>
          <w:spacing w:val="-8"/>
          <w:szCs w:val="22"/>
        </w:rPr>
        <w:t xml:space="preserve"> </w:t>
      </w:r>
      <w:r w:rsidR="00D16E53" w:rsidRPr="002A6455">
        <w:rPr>
          <w:rFonts w:cs="Arial"/>
          <w:szCs w:val="22"/>
        </w:rPr>
        <w:t>life-course. I have continued to make substantive methodological contributions both to understanding the scope and role of measurement</w:t>
      </w:r>
      <w:r w:rsidR="00D16E53" w:rsidRPr="002A6455">
        <w:rPr>
          <w:rFonts w:cs="Arial"/>
          <w:spacing w:val="-18"/>
          <w:szCs w:val="22"/>
        </w:rPr>
        <w:t xml:space="preserve"> </w:t>
      </w:r>
      <w:r w:rsidR="00D16E53" w:rsidRPr="002A6455">
        <w:rPr>
          <w:rFonts w:cs="Arial"/>
          <w:szCs w:val="22"/>
        </w:rPr>
        <w:t>error</w:t>
      </w:r>
      <w:r w:rsidR="00D16E53" w:rsidRPr="002A6455">
        <w:rPr>
          <w:rFonts w:cs="Arial"/>
          <w:spacing w:val="-17"/>
          <w:szCs w:val="22"/>
        </w:rPr>
        <w:t xml:space="preserve"> </w:t>
      </w:r>
      <w:r w:rsidR="00D16E53" w:rsidRPr="002A6455">
        <w:rPr>
          <w:rFonts w:cs="Arial"/>
          <w:szCs w:val="22"/>
        </w:rPr>
        <w:t>in</w:t>
      </w:r>
      <w:r w:rsidR="00D16E53" w:rsidRPr="002A6455">
        <w:rPr>
          <w:rFonts w:cs="Arial"/>
          <w:spacing w:val="-18"/>
          <w:szCs w:val="22"/>
        </w:rPr>
        <w:t xml:space="preserve"> </w:t>
      </w:r>
      <w:r w:rsidR="00D16E53" w:rsidRPr="002A6455">
        <w:rPr>
          <w:rFonts w:cs="Arial"/>
          <w:szCs w:val="22"/>
        </w:rPr>
        <w:t>nutritional</w:t>
      </w:r>
      <w:r w:rsidR="00D16E53" w:rsidRPr="002A6455">
        <w:rPr>
          <w:rFonts w:cs="Arial"/>
          <w:spacing w:val="-16"/>
          <w:szCs w:val="22"/>
        </w:rPr>
        <w:t xml:space="preserve"> </w:t>
      </w:r>
      <w:r w:rsidR="00D16E53" w:rsidRPr="002A6455">
        <w:rPr>
          <w:rFonts w:cs="Arial"/>
          <w:szCs w:val="22"/>
        </w:rPr>
        <w:t>assessment</w:t>
      </w:r>
      <w:r w:rsidR="00D16E53" w:rsidRPr="002A6455">
        <w:rPr>
          <w:rFonts w:cs="Arial"/>
          <w:spacing w:val="-17"/>
          <w:szCs w:val="22"/>
        </w:rPr>
        <w:t xml:space="preserve"> </w:t>
      </w:r>
      <w:r w:rsidR="00D16E53" w:rsidRPr="002A6455">
        <w:rPr>
          <w:rFonts w:cs="Arial"/>
          <w:szCs w:val="22"/>
        </w:rPr>
        <w:t>and</w:t>
      </w:r>
      <w:r w:rsidR="00D16E53" w:rsidRPr="002A6455">
        <w:rPr>
          <w:rFonts w:cs="Arial"/>
          <w:spacing w:val="-18"/>
          <w:szCs w:val="22"/>
        </w:rPr>
        <w:t xml:space="preserve"> </w:t>
      </w:r>
      <w:r w:rsidR="00D16E53" w:rsidRPr="002A6455">
        <w:rPr>
          <w:rFonts w:cs="Arial"/>
          <w:szCs w:val="22"/>
        </w:rPr>
        <w:t>in</w:t>
      </w:r>
      <w:r w:rsidR="00D16E53" w:rsidRPr="002A6455">
        <w:rPr>
          <w:rFonts w:cs="Arial"/>
          <w:spacing w:val="-17"/>
          <w:szCs w:val="22"/>
        </w:rPr>
        <w:t xml:space="preserve"> </w:t>
      </w:r>
      <w:r w:rsidR="00D16E53" w:rsidRPr="002A6455">
        <w:rPr>
          <w:rFonts w:cs="Arial"/>
          <w:szCs w:val="22"/>
        </w:rPr>
        <w:t>self-reported</w:t>
      </w:r>
      <w:r w:rsidR="00D16E53" w:rsidRPr="002A6455">
        <w:rPr>
          <w:rFonts w:cs="Arial"/>
          <w:spacing w:val="-17"/>
          <w:szCs w:val="22"/>
        </w:rPr>
        <w:t xml:space="preserve"> </w:t>
      </w:r>
      <w:r w:rsidR="00D16E53" w:rsidRPr="002A6455">
        <w:rPr>
          <w:rFonts w:cs="Arial"/>
          <w:szCs w:val="22"/>
        </w:rPr>
        <w:t>behavioral</w:t>
      </w:r>
      <w:r w:rsidR="00D16E53" w:rsidRPr="002A6455">
        <w:rPr>
          <w:rFonts w:cs="Arial"/>
          <w:spacing w:val="-17"/>
          <w:szCs w:val="22"/>
        </w:rPr>
        <w:t xml:space="preserve"> </w:t>
      </w:r>
      <w:r w:rsidR="00D16E53" w:rsidRPr="002A6455">
        <w:rPr>
          <w:rFonts w:cs="Arial"/>
          <w:szCs w:val="22"/>
        </w:rPr>
        <w:t>risk</w:t>
      </w:r>
      <w:r w:rsidR="00D16E53" w:rsidRPr="002A6455">
        <w:rPr>
          <w:rFonts w:cs="Arial"/>
          <w:spacing w:val="-16"/>
          <w:szCs w:val="22"/>
        </w:rPr>
        <w:t xml:space="preserve"> </w:t>
      </w:r>
      <w:r w:rsidR="00D16E53" w:rsidRPr="002A6455">
        <w:rPr>
          <w:rFonts w:cs="Arial"/>
          <w:szCs w:val="22"/>
        </w:rPr>
        <w:t>factors,</w:t>
      </w:r>
      <w:r w:rsidR="00D16E53" w:rsidRPr="002A6455">
        <w:rPr>
          <w:rFonts w:cs="Arial"/>
          <w:spacing w:val="-18"/>
          <w:szCs w:val="22"/>
        </w:rPr>
        <w:t xml:space="preserve"> </w:t>
      </w:r>
      <w:r w:rsidR="00D16E53" w:rsidRPr="002A6455">
        <w:rPr>
          <w:rFonts w:cs="Arial"/>
          <w:szCs w:val="22"/>
        </w:rPr>
        <w:t>and</w:t>
      </w:r>
      <w:r w:rsidR="00D16E53" w:rsidRPr="002A6455">
        <w:rPr>
          <w:rFonts w:cs="Arial"/>
          <w:spacing w:val="-17"/>
          <w:szCs w:val="22"/>
        </w:rPr>
        <w:t xml:space="preserve"> </w:t>
      </w:r>
      <w:r w:rsidR="00D16E53" w:rsidRPr="002A6455">
        <w:rPr>
          <w:rFonts w:cs="Arial"/>
          <w:szCs w:val="22"/>
        </w:rPr>
        <w:t>to</w:t>
      </w:r>
      <w:r w:rsidR="00D16E53" w:rsidRPr="002A6455">
        <w:rPr>
          <w:rFonts w:cs="Arial"/>
          <w:spacing w:val="-18"/>
          <w:szCs w:val="22"/>
        </w:rPr>
        <w:t xml:space="preserve"> </w:t>
      </w:r>
      <w:r w:rsidR="00D16E53" w:rsidRPr="002A6455">
        <w:rPr>
          <w:rFonts w:cs="Arial"/>
          <w:szCs w:val="22"/>
        </w:rPr>
        <w:t>innovative</w:t>
      </w:r>
      <w:r w:rsidR="00D16E53" w:rsidRPr="002A6455">
        <w:rPr>
          <w:rFonts w:cs="Arial"/>
          <w:spacing w:val="-18"/>
          <w:szCs w:val="22"/>
        </w:rPr>
        <w:t xml:space="preserve"> </w:t>
      </w:r>
      <w:r w:rsidR="00D16E53" w:rsidRPr="002A6455">
        <w:rPr>
          <w:rFonts w:cs="Arial"/>
          <w:szCs w:val="22"/>
        </w:rPr>
        <w:t>design of epidemiologic studies over the life course, whether these focus on the analysis of existing data or new field work.</w:t>
      </w:r>
      <w:r w:rsidR="00D16E53" w:rsidRPr="002A6455">
        <w:rPr>
          <w:rFonts w:cs="Arial"/>
          <w:spacing w:val="-10"/>
          <w:szCs w:val="22"/>
        </w:rPr>
        <w:t xml:space="preserve"> </w:t>
      </w:r>
      <w:r w:rsidR="00D16E53" w:rsidRPr="002A6455">
        <w:rPr>
          <w:rFonts w:cs="Arial"/>
          <w:szCs w:val="22"/>
        </w:rPr>
        <w:t>Repeatedly,</w:t>
      </w:r>
      <w:r w:rsidR="00D16E53" w:rsidRPr="002A6455">
        <w:rPr>
          <w:rFonts w:cs="Arial"/>
          <w:spacing w:val="-9"/>
          <w:szCs w:val="22"/>
        </w:rPr>
        <w:t xml:space="preserve"> </w:t>
      </w:r>
      <w:r w:rsidR="00D16E53" w:rsidRPr="002A6455">
        <w:rPr>
          <w:rFonts w:cs="Arial"/>
          <w:szCs w:val="22"/>
        </w:rPr>
        <w:t>I</w:t>
      </w:r>
      <w:r w:rsidR="00D16E53" w:rsidRPr="002A6455">
        <w:rPr>
          <w:rFonts w:cs="Arial"/>
          <w:spacing w:val="-9"/>
          <w:szCs w:val="22"/>
        </w:rPr>
        <w:t xml:space="preserve"> </w:t>
      </w:r>
      <w:r w:rsidR="00D16E53" w:rsidRPr="002A6455">
        <w:rPr>
          <w:rFonts w:cs="Arial"/>
          <w:szCs w:val="22"/>
        </w:rPr>
        <w:t>have</w:t>
      </w:r>
      <w:r w:rsidR="00D16E53" w:rsidRPr="002A6455">
        <w:rPr>
          <w:rFonts w:cs="Arial"/>
          <w:spacing w:val="-9"/>
          <w:szCs w:val="22"/>
        </w:rPr>
        <w:t xml:space="preserve"> </w:t>
      </w:r>
      <w:r w:rsidR="00D16E53" w:rsidRPr="002A6455">
        <w:rPr>
          <w:rFonts w:cs="Arial"/>
          <w:szCs w:val="22"/>
        </w:rPr>
        <w:t>demonstrated</w:t>
      </w:r>
      <w:r w:rsidR="00D16E53" w:rsidRPr="002A6455">
        <w:rPr>
          <w:rFonts w:cs="Arial"/>
          <w:spacing w:val="-9"/>
          <w:szCs w:val="22"/>
        </w:rPr>
        <w:t xml:space="preserve"> </w:t>
      </w:r>
      <w:r w:rsidR="00D16E53" w:rsidRPr="002A6455">
        <w:rPr>
          <w:rFonts w:cs="Arial"/>
          <w:szCs w:val="22"/>
        </w:rPr>
        <w:t>capacity</w:t>
      </w:r>
      <w:r w:rsidR="00D16E53" w:rsidRPr="002A6455">
        <w:rPr>
          <w:rFonts w:cs="Arial"/>
          <w:spacing w:val="-10"/>
          <w:szCs w:val="22"/>
        </w:rPr>
        <w:t xml:space="preserve"> </w:t>
      </w:r>
      <w:r w:rsidR="00D16E53" w:rsidRPr="002A6455">
        <w:rPr>
          <w:rFonts w:cs="Arial"/>
          <w:szCs w:val="22"/>
        </w:rPr>
        <w:t>to</w:t>
      </w:r>
      <w:r w:rsidR="00D16E53" w:rsidRPr="002A6455">
        <w:rPr>
          <w:rFonts w:cs="Arial"/>
          <w:spacing w:val="-10"/>
          <w:szCs w:val="22"/>
        </w:rPr>
        <w:t xml:space="preserve"> </w:t>
      </w:r>
      <w:r w:rsidR="00D16E53" w:rsidRPr="002A6455">
        <w:rPr>
          <w:rFonts w:cs="Arial"/>
          <w:szCs w:val="22"/>
        </w:rPr>
        <w:t>collaborate</w:t>
      </w:r>
      <w:r w:rsidR="00D16E53" w:rsidRPr="002A6455">
        <w:rPr>
          <w:rFonts w:cs="Arial"/>
          <w:spacing w:val="-12"/>
          <w:szCs w:val="22"/>
        </w:rPr>
        <w:t xml:space="preserve"> </w:t>
      </w:r>
      <w:r w:rsidR="00D16E53" w:rsidRPr="002A6455">
        <w:rPr>
          <w:rFonts w:cs="Arial"/>
          <w:szCs w:val="22"/>
        </w:rPr>
        <w:t>productively</w:t>
      </w:r>
      <w:r w:rsidR="00D16E53" w:rsidRPr="002A6455">
        <w:rPr>
          <w:rFonts w:cs="Arial"/>
          <w:spacing w:val="-11"/>
          <w:szCs w:val="22"/>
        </w:rPr>
        <w:t xml:space="preserve"> </w:t>
      </w:r>
      <w:r w:rsidR="00D16E53" w:rsidRPr="002A6455">
        <w:rPr>
          <w:rFonts w:cs="Arial"/>
          <w:szCs w:val="22"/>
        </w:rPr>
        <w:t>with</w:t>
      </w:r>
      <w:r w:rsidR="00D16E53" w:rsidRPr="002A6455">
        <w:rPr>
          <w:rFonts w:cs="Arial"/>
          <w:spacing w:val="-9"/>
          <w:szCs w:val="22"/>
        </w:rPr>
        <w:t xml:space="preserve"> </w:t>
      </w:r>
      <w:r w:rsidR="00D16E53" w:rsidRPr="002A6455">
        <w:rPr>
          <w:rFonts w:cs="Arial"/>
          <w:szCs w:val="22"/>
        </w:rPr>
        <w:t>diverse</w:t>
      </w:r>
      <w:r w:rsidR="00D16E53" w:rsidRPr="002A6455">
        <w:rPr>
          <w:rFonts w:cs="Arial"/>
          <w:spacing w:val="-9"/>
          <w:szCs w:val="22"/>
        </w:rPr>
        <w:t xml:space="preserve"> </w:t>
      </w:r>
      <w:r w:rsidR="00D16E53" w:rsidRPr="002A6455">
        <w:rPr>
          <w:rFonts w:cs="Arial"/>
          <w:szCs w:val="22"/>
        </w:rPr>
        <w:t>and</w:t>
      </w:r>
      <w:r w:rsidR="00D16E53" w:rsidRPr="002A6455">
        <w:rPr>
          <w:rFonts w:cs="Arial"/>
          <w:spacing w:val="-9"/>
          <w:szCs w:val="22"/>
        </w:rPr>
        <w:t xml:space="preserve"> </w:t>
      </w:r>
      <w:r w:rsidR="00D16E53" w:rsidRPr="002A6455">
        <w:rPr>
          <w:rFonts w:cs="Arial"/>
          <w:szCs w:val="22"/>
        </w:rPr>
        <w:t>dispersed</w:t>
      </w:r>
      <w:r w:rsidR="00D16E53" w:rsidRPr="002A6455">
        <w:rPr>
          <w:rFonts w:cs="Arial"/>
          <w:spacing w:val="-9"/>
          <w:szCs w:val="22"/>
        </w:rPr>
        <w:t xml:space="preserve"> </w:t>
      </w:r>
      <w:r w:rsidR="00D16E53" w:rsidRPr="002A6455">
        <w:rPr>
          <w:rFonts w:cs="Arial"/>
          <w:szCs w:val="22"/>
        </w:rPr>
        <w:t>research teams, to manage research activities where field work is conducted at remote locations, and to disseminate study results via peer-reviewed publication. I have published over 2</w:t>
      </w:r>
      <w:r w:rsidR="00B567E3">
        <w:rPr>
          <w:rFonts w:cs="Arial"/>
          <w:szCs w:val="22"/>
        </w:rPr>
        <w:t>75</w:t>
      </w:r>
      <w:r w:rsidR="00D16E53" w:rsidRPr="002A6455">
        <w:rPr>
          <w:rFonts w:cs="Arial"/>
          <w:szCs w:val="22"/>
        </w:rPr>
        <w:t xml:space="preserve"> peer-reviewed</w:t>
      </w:r>
      <w:r w:rsidR="00D16E53" w:rsidRPr="002A6455">
        <w:rPr>
          <w:rFonts w:cs="Arial"/>
          <w:spacing w:val="-7"/>
          <w:szCs w:val="22"/>
        </w:rPr>
        <w:t xml:space="preserve"> </w:t>
      </w:r>
      <w:r w:rsidR="00D16E53" w:rsidRPr="002A6455">
        <w:rPr>
          <w:rFonts w:cs="Arial"/>
          <w:szCs w:val="22"/>
        </w:rPr>
        <w:t>papers.</w:t>
      </w:r>
      <w:r w:rsidR="006711D3">
        <w:rPr>
          <w:rFonts w:cs="Arial"/>
          <w:szCs w:val="22"/>
        </w:rPr>
        <w:t xml:space="preserve"> </w:t>
      </w:r>
      <w:r w:rsidR="00B567E3">
        <w:rPr>
          <w:rFonts w:cs="Arial"/>
          <w:szCs w:val="22"/>
        </w:rPr>
        <w:t>I was a co-Investigator on all waves of the INS</w:t>
      </w:r>
      <w:r w:rsidR="002C30AF">
        <w:rPr>
          <w:rFonts w:cs="Arial"/>
          <w:szCs w:val="22"/>
        </w:rPr>
        <w:t>T</w:t>
      </w:r>
      <w:r w:rsidR="00B567E3">
        <w:rPr>
          <w:rFonts w:cs="Arial"/>
          <w:szCs w:val="22"/>
        </w:rPr>
        <w:t xml:space="preserve">C study since joining Emory University in 1998 and I was the Principal Investigator of the two most recent waves of field work in this cohort. </w:t>
      </w:r>
    </w:p>
    <w:p w14:paraId="73796964" w14:textId="7E93BBE9" w:rsidR="008C321D" w:rsidRDefault="008C321D" w:rsidP="00C54022">
      <w:pPr>
        <w:pStyle w:val="BodyText"/>
        <w:kinsoku w:val="0"/>
        <w:overflowPunct w:val="0"/>
        <w:spacing w:before="120"/>
        <w:ind w:right="158"/>
        <w:jc w:val="both"/>
        <w:rPr>
          <w:rFonts w:cs="Arial"/>
          <w:szCs w:val="22"/>
        </w:rPr>
      </w:pPr>
      <w:r w:rsidRPr="008C321D">
        <w:rPr>
          <w:rFonts w:cs="Arial"/>
          <w:szCs w:val="22"/>
          <w:u w:val="single"/>
        </w:rPr>
        <w:t>Current projects that I would like to highlight include</w:t>
      </w:r>
      <w:r>
        <w:rPr>
          <w:rFonts w:cs="Arial"/>
          <w:szCs w:val="22"/>
        </w:rPr>
        <w:t>:</w:t>
      </w:r>
    </w:p>
    <w:p w14:paraId="7A72A9F0" w14:textId="77777777" w:rsidR="008C321D" w:rsidRPr="00F97D75" w:rsidRDefault="008C321D" w:rsidP="008C321D">
      <w:pPr>
        <w:adjustRightInd w:val="0"/>
        <w:ind w:left="180"/>
        <w:rPr>
          <w:rFonts w:asciiTheme="minorBidi" w:hAnsiTheme="minorBidi"/>
          <w:bCs/>
        </w:rPr>
      </w:pPr>
      <w:r w:rsidRPr="00F97D75">
        <w:rPr>
          <w:rFonts w:asciiTheme="minorBidi" w:hAnsiTheme="minorBidi"/>
          <w:bCs/>
        </w:rPr>
        <w:t>DK-134509</w:t>
      </w:r>
      <w:r>
        <w:rPr>
          <w:rFonts w:asciiTheme="minorBidi" w:hAnsiTheme="minorBidi"/>
          <w:bCs/>
        </w:rPr>
        <w:tab/>
      </w:r>
      <w:r>
        <w:rPr>
          <w:rFonts w:asciiTheme="minorBidi" w:hAnsiTheme="minorBidi"/>
          <w:bCs/>
        </w:rPr>
        <w:tab/>
      </w:r>
      <w:r>
        <w:rPr>
          <w:rFonts w:asciiTheme="minorBidi" w:hAnsiTheme="minorBidi"/>
          <w:bCs/>
        </w:rPr>
        <w:tab/>
      </w:r>
      <w:r w:rsidRPr="00F97D75">
        <w:rPr>
          <w:rFonts w:asciiTheme="minorBidi" w:hAnsiTheme="minorBidi"/>
          <w:bCs/>
        </w:rPr>
        <w:t xml:space="preserve">Stein (PI) </w:t>
      </w:r>
      <w:r>
        <w:rPr>
          <w:rFonts w:asciiTheme="minorBidi" w:hAnsiTheme="minorBidi"/>
          <w:bCs/>
        </w:rPr>
        <w:tab/>
      </w:r>
      <w:r>
        <w:rPr>
          <w:rFonts w:asciiTheme="minorBidi" w:hAnsiTheme="minorBidi"/>
          <w:bCs/>
        </w:rPr>
        <w:tab/>
      </w:r>
      <w:r>
        <w:rPr>
          <w:rFonts w:asciiTheme="minorBidi" w:hAnsiTheme="minorBidi"/>
          <w:bCs/>
        </w:rPr>
        <w:tab/>
      </w:r>
      <w:r w:rsidRPr="00F97D75">
        <w:rPr>
          <w:rFonts w:asciiTheme="minorBidi" w:hAnsiTheme="minorBidi"/>
          <w:bCs/>
        </w:rPr>
        <w:t>3/15/2023 – 1/31/2028</w:t>
      </w:r>
    </w:p>
    <w:p w14:paraId="1BEE520D" w14:textId="77777777" w:rsidR="008C321D" w:rsidRPr="00F97D75" w:rsidRDefault="008C321D" w:rsidP="008C321D">
      <w:pPr>
        <w:tabs>
          <w:tab w:val="left" w:pos="2880"/>
          <w:tab w:val="right" w:pos="10710"/>
        </w:tabs>
        <w:suppressAutoHyphens/>
        <w:ind w:left="180"/>
        <w:rPr>
          <w:rFonts w:asciiTheme="minorBidi" w:hAnsiTheme="minorBidi"/>
          <w:b/>
        </w:rPr>
      </w:pPr>
      <w:r w:rsidRPr="00F97D75">
        <w:rPr>
          <w:rFonts w:asciiTheme="minorBidi" w:hAnsiTheme="minorBidi"/>
          <w:b/>
        </w:rPr>
        <w:t xml:space="preserve">Adult epigenetics and telomere length in relation to improved nutrition in early </w:t>
      </w:r>
      <w:proofErr w:type="gramStart"/>
      <w:r w:rsidRPr="00F97D75">
        <w:rPr>
          <w:rFonts w:asciiTheme="minorBidi" w:hAnsiTheme="minorBidi"/>
          <w:b/>
        </w:rPr>
        <w:t>life</w:t>
      </w:r>
      <w:proofErr w:type="gramEnd"/>
    </w:p>
    <w:p w14:paraId="20CE8BED" w14:textId="686BFBCE" w:rsidR="008C321D" w:rsidRDefault="008C321D" w:rsidP="008C321D">
      <w:pPr>
        <w:tabs>
          <w:tab w:val="right" w:pos="10710"/>
        </w:tabs>
        <w:suppressAutoHyphens/>
        <w:ind w:left="180"/>
        <w:rPr>
          <w:rFonts w:asciiTheme="minorBidi" w:hAnsiTheme="minorBidi"/>
        </w:rPr>
      </w:pPr>
      <w:r w:rsidRPr="00F97D75">
        <w:rPr>
          <w:rFonts w:asciiTheme="minorBidi" w:hAnsiTheme="minorBidi"/>
          <w:bCs/>
        </w:rPr>
        <w:t>In this project we are examining the epigenetic changes and changes in average telomere</w:t>
      </w:r>
      <w:r w:rsidRPr="00F97D75">
        <w:rPr>
          <w:rFonts w:asciiTheme="minorBidi" w:hAnsiTheme="minorBidi"/>
        </w:rPr>
        <w:t xml:space="preserve"> length that result from improved nutrition in early life. </w:t>
      </w:r>
      <w:r>
        <w:rPr>
          <w:rFonts w:asciiTheme="minorBidi" w:hAnsiTheme="minorBidi"/>
        </w:rPr>
        <w:t>This project complements the preset proposal through the ability to link the epigenetic changes that result for improving early life nutrition to the changes in metabolomic profiles that we expect to see in the present proposal.</w:t>
      </w:r>
    </w:p>
    <w:p w14:paraId="2EDAB65A" w14:textId="77777777" w:rsidR="008C321D" w:rsidRDefault="008C321D" w:rsidP="008C321D">
      <w:pPr>
        <w:adjustRightInd w:val="0"/>
        <w:ind w:left="180"/>
        <w:rPr>
          <w:rFonts w:asciiTheme="minorBidi" w:hAnsiTheme="minorBidi"/>
          <w:bCs/>
        </w:rPr>
      </w:pPr>
    </w:p>
    <w:p w14:paraId="17925777" w14:textId="77777777" w:rsidR="008C321D" w:rsidRPr="00F97D75" w:rsidRDefault="008C321D" w:rsidP="008C321D">
      <w:pPr>
        <w:adjustRightInd w:val="0"/>
        <w:ind w:left="180"/>
        <w:rPr>
          <w:rFonts w:asciiTheme="minorBidi" w:hAnsiTheme="minorBidi"/>
          <w:bCs/>
        </w:rPr>
      </w:pPr>
      <w:r w:rsidRPr="00F97D75">
        <w:rPr>
          <w:rFonts w:asciiTheme="minorBidi" w:hAnsiTheme="minorBidi"/>
          <w:bCs/>
        </w:rPr>
        <w:t xml:space="preserve">AG-079990 </w:t>
      </w:r>
      <w:r>
        <w:rPr>
          <w:rFonts w:asciiTheme="minorBidi" w:hAnsiTheme="minorBidi"/>
          <w:bCs/>
        </w:rPr>
        <w:tab/>
      </w:r>
      <w:r>
        <w:rPr>
          <w:rFonts w:asciiTheme="minorBidi" w:hAnsiTheme="minorBidi"/>
          <w:bCs/>
        </w:rPr>
        <w:tab/>
      </w:r>
      <w:r>
        <w:rPr>
          <w:rFonts w:asciiTheme="minorBidi" w:hAnsiTheme="minorBidi"/>
          <w:bCs/>
        </w:rPr>
        <w:tab/>
      </w:r>
      <w:r w:rsidRPr="00F97D75">
        <w:rPr>
          <w:rFonts w:asciiTheme="minorBidi" w:hAnsiTheme="minorBidi"/>
          <w:bCs/>
        </w:rPr>
        <w:t xml:space="preserve">Stein (MPI) </w:t>
      </w:r>
      <w:r>
        <w:rPr>
          <w:rFonts w:asciiTheme="minorBidi" w:hAnsiTheme="minorBidi"/>
          <w:bCs/>
        </w:rPr>
        <w:tab/>
      </w:r>
      <w:r>
        <w:rPr>
          <w:rFonts w:asciiTheme="minorBidi" w:hAnsiTheme="minorBidi"/>
          <w:bCs/>
        </w:rPr>
        <w:tab/>
      </w:r>
      <w:r>
        <w:rPr>
          <w:rFonts w:asciiTheme="minorBidi" w:hAnsiTheme="minorBidi"/>
          <w:bCs/>
        </w:rPr>
        <w:tab/>
      </w:r>
      <w:r w:rsidRPr="00F97D75">
        <w:rPr>
          <w:rFonts w:asciiTheme="minorBidi" w:hAnsiTheme="minorBidi"/>
          <w:bCs/>
        </w:rPr>
        <w:t>3/15/2023 – 2/29/2028</w:t>
      </w:r>
    </w:p>
    <w:p w14:paraId="64322F9E" w14:textId="77777777" w:rsidR="008C321D" w:rsidRDefault="008C321D" w:rsidP="008C321D">
      <w:pPr>
        <w:adjustRightInd w:val="0"/>
        <w:ind w:left="180"/>
        <w:rPr>
          <w:rFonts w:asciiTheme="minorBidi" w:hAnsiTheme="minorBidi"/>
          <w:b/>
        </w:rPr>
      </w:pPr>
      <w:r w:rsidRPr="00F97D75">
        <w:rPr>
          <w:rFonts w:asciiTheme="minorBidi" w:hAnsiTheme="minorBidi"/>
          <w:b/>
        </w:rPr>
        <w:t xml:space="preserve">The impact of early-life nutrition on socioeconomic status, physical </w:t>
      </w:r>
      <w:proofErr w:type="gramStart"/>
      <w:r w:rsidRPr="00F97D75">
        <w:rPr>
          <w:rFonts w:asciiTheme="minorBidi" w:hAnsiTheme="minorBidi"/>
          <w:b/>
        </w:rPr>
        <w:t>health</w:t>
      </w:r>
      <w:proofErr w:type="gramEnd"/>
      <w:r w:rsidRPr="00F97D75">
        <w:rPr>
          <w:rFonts w:asciiTheme="minorBidi" w:hAnsiTheme="minorBidi"/>
          <w:b/>
        </w:rPr>
        <w:t xml:space="preserve"> and cognitive function through middle age </w:t>
      </w:r>
    </w:p>
    <w:p w14:paraId="7459B3DC" w14:textId="6DBF1C58" w:rsidR="008C321D" w:rsidRPr="00F97D75" w:rsidRDefault="008C321D" w:rsidP="008C321D">
      <w:pPr>
        <w:adjustRightInd w:val="0"/>
        <w:ind w:left="180"/>
        <w:rPr>
          <w:rFonts w:asciiTheme="minorBidi" w:hAnsiTheme="minorBidi"/>
          <w:b/>
        </w:rPr>
      </w:pPr>
      <w:r w:rsidRPr="00F97D75">
        <w:rPr>
          <w:rFonts w:asciiTheme="minorBidi" w:hAnsiTheme="minorBidi"/>
        </w:rPr>
        <w:t xml:space="preserve">In this project we are examining among </w:t>
      </w:r>
      <w:r>
        <w:rPr>
          <w:rFonts w:asciiTheme="minorBidi" w:hAnsiTheme="minorBidi"/>
        </w:rPr>
        <w:t>this same</w:t>
      </w:r>
      <w:r w:rsidRPr="00F97D75">
        <w:rPr>
          <w:rFonts w:asciiTheme="minorBidi" w:hAnsiTheme="minorBidi"/>
        </w:rPr>
        <w:t xml:space="preserve"> cohort of men and women in Guatemala the physical and cognitive status in late middle age, and changes in these domains over adulthood, in relation to exposure to </w:t>
      </w:r>
      <w:r w:rsidRPr="00F97D75">
        <w:rPr>
          <w:rFonts w:asciiTheme="minorBidi" w:hAnsiTheme="minorBidi"/>
        </w:rPr>
        <w:lastRenderedPageBreak/>
        <w:t>improved nutrition in early life. This is a new wave of field work in th</w:t>
      </w:r>
      <w:r>
        <w:rPr>
          <w:rFonts w:asciiTheme="minorBidi" w:hAnsiTheme="minorBidi"/>
        </w:rPr>
        <w:t>is</w:t>
      </w:r>
      <w:r w:rsidRPr="00F97D75">
        <w:rPr>
          <w:rFonts w:asciiTheme="minorBidi" w:hAnsiTheme="minorBidi"/>
        </w:rPr>
        <w:t xml:space="preserve"> cohort that is being studied in the present proposal</w:t>
      </w:r>
      <w:r>
        <w:rPr>
          <w:rFonts w:asciiTheme="minorBidi" w:hAnsiTheme="minorBidi"/>
        </w:rPr>
        <w:t>.</w:t>
      </w:r>
    </w:p>
    <w:p w14:paraId="3CF42DF4" w14:textId="77777777" w:rsidR="008C321D" w:rsidRDefault="008C321D" w:rsidP="00C54022">
      <w:pPr>
        <w:pStyle w:val="BodyText"/>
        <w:kinsoku w:val="0"/>
        <w:overflowPunct w:val="0"/>
        <w:spacing w:before="120"/>
        <w:ind w:right="158"/>
        <w:jc w:val="both"/>
        <w:rPr>
          <w:rFonts w:cs="Arial"/>
          <w:szCs w:val="22"/>
        </w:rPr>
      </w:pPr>
    </w:p>
    <w:p w14:paraId="5C570AF1" w14:textId="13CD103A" w:rsidR="006711D3" w:rsidRPr="002A6455" w:rsidRDefault="00B567E3" w:rsidP="00C54022">
      <w:pPr>
        <w:pStyle w:val="BodyText"/>
        <w:kinsoku w:val="0"/>
        <w:overflowPunct w:val="0"/>
        <w:spacing w:before="120"/>
        <w:ind w:right="158"/>
        <w:jc w:val="both"/>
        <w:rPr>
          <w:rFonts w:cs="Arial"/>
          <w:szCs w:val="22"/>
        </w:rPr>
      </w:pPr>
      <w:proofErr w:type="gramStart"/>
      <w:r w:rsidRPr="008C321D">
        <w:rPr>
          <w:rFonts w:cs="Arial"/>
          <w:szCs w:val="22"/>
          <w:u w:val="single"/>
        </w:rPr>
        <w:t>R</w:t>
      </w:r>
      <w:r w:rsidR="00C54022" w:rsidRPr="008C321D">
        <w:rPr>
          <w:rFonts w:cs="Arial"/>
          <w:szCs w:val="22"/>
          <w:u w:val="single"/>
        </w:rPr>
        <w:t>ecently</w:t>
      </w:r>
      <w:r w:rsidRPr="008C321D">
        <w:rPr>
          <w:rFonts w:cs="Arial"/>
          <w:szCs w:val="22"/>
          <w:u w:val="single"/>
        </w:rPr>
        <w:t>-</w:t>
      </w:r>
      <w:r w:rsidR="00C54022" w:rsidRPr="008C321D">
        <w:rPr>
          <w:rFonts w:cs="Arial"/>
          <w:szCs w:val="22"/>
          <w:u w:val="single"/>
        </w:rPr>
        <w:t>completed</w:t>
      </w:r>
      <w:proofErr w:type="gramEnd"/>
      <w:r w:rsidR="00C54022" w:rsidRPr="008C321D">
        <w:rPr>
          <w:rFonts w:cs="Arial"/>
          <w:szCs w:val="22"/>
          <w:u w:val="single"/>
        </w:rPr>
        <w:t xml:space="preserve"> projects that I would like to highlight include</w:t>
      </w:r>
      <w:r w:rsidR="00C54022" w:rsidRPr="002A6455">
        <w:rPr>
          <w:rFonts w:cs="Arial"/>
          <w:szCs w:val="22"/>
        </w:rPr>
        <w:t>:</w:t>
      </w:r>
    </w:p>
    <w:p w14:paraId="680526B7" w14:textId="54AA4628" w:rsidR="00C54022" w:rsidRPr="002A6455" w:rsidRDefault="00C54022" w:rsidP="00C54022">
      <w:pPr>
        <w:pStyle w:val="DataField11pt-Single"/>
        <w:rPr>
          <w:rStyle w:val="Strong"/>
          <w:b w:val="0"/>
          <w:szCs w:val="22"/>
        </w:rPr>
      </w:pPr>
      <w:r w:rsidRPr="002A6455">
        <w:rPr>
          <w:rStyle w:val="Strong"/>
          <w:b w:val="0"/>
          <w:szCs w:val="22"/>
        </w:rPr>
        <w:t>OPP</w:t>
      </w:r>
      <w:r w:rsidR="00E81178">
        <w:rPr>
          <w:rStyle w:val="Strong"/>
          <w:b w:val="0"/>
          <w:szCs w:val="22"/>
        </w:rPr>
        <w:t xml:space="preserve"> </w:t>
      </w:r>
      <w:r w:rsidRPr="002A6455">
        <w:rPr>
          <w:rStyle w:val="Strong"/>
          <w:b w:val="0"/>
          <w:szCs w:val="22"/>
        </w:rPr>
        <w:t>1164115</w:t>
      </w:r>
      <w:r w:rsidRPr="002A6455">
        <w:rPr>
          <w:rStyle w:val="Strong"/>
          <w:b w:val="0"/>
          <w:szCs w:val="22"/>
        </w:rPr>
        <w:tab/>
      </w:r>
      <w:r w:rsidR="00374A2D" w:rsidRPr="002A6455">
        <w:rPr>
          <w:rStyle w:val="Strong"/>
          <w:b w:val="0"/>
          <w:szCs w:val="22"/>
        </w:rPr>
        <w:t>(Bill</w:t>
      </w:r>
      <w:r w:rsidR="008F1195">
        <w:rPr>
          <w:rStyle w:val="Strong"/>
          <w:b w:val="0"/>
          <w:szCs w:val="22"/>
        </w:rPr>
        <w:t>-</w:t>
      </w:r>
      <w:r w:rsidR="00374A2D" w:rsidRPr="002A6455">
        <w:rPr>
          <w:rStyle w:val="Strong"/>
          <w:b w:val="0"/>
          <w:szCs w:val="22"/>
        </w:rPr>
        <w:t>Melinda Gates Foundation)</w:t>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Pr="002A6455">
        <w:rPr>
          <w:rStyle w:val="Strong"/>
          <w:b w:val="0"/>
          <w:szCs w:val="22"/>
        </w:rPr>
        <w:t>Stein (PI)</w:t>
      </w:r>
      <w:r w:rsidRPr="002A6455">
        <w:rPr>
          <w:rStyle w:val="Strong"/>
          <w:b w:val="0"/>
          <w:szCs w:val="22"/>
        </w:rPr>
        <w:tab/>
      </w:r>
      <w:r w:rsidR="008F1195">
        <w:rPr>
          <w:rStyle w:val="Strong"/>
          <w:b w:val="0"/>
          <w:szCs w:val="22"/>
        </w:rPr>
        <w:tab/>
      </w:r>
      <w:r w:rsidR="00F651F6">
        <w:rPr>
          <w:rStyle w:val="Strong"/>
          <w:b w:val="0"/>
          <w:szCs w:val="22"/>
        </w:rPr>
        <w:tab/>
      </w:r>
      <w:r w:rsidR="00F651F6">
        <w:rPr>
          <w:rStyle w:val="Strong"/>
          <w:b w:val="0"/>
          <w:szCs w:val="22"/>
        </w:rPr>
        <w:tab/>
      </w:r>
      <w:r w:rsidR="00F651F6">
        <w:rPr>
          <w:rStyle w:val="Strong"/>
          <w:b w:val="0"/>
          <w:szCs w:val="22"/>
        </w:rPr>
        <w:tab/>
      </w:r>
      <w:r w:rsidRPr="002A6455">
        <w:rPr>
          <w:rStyle w:val="Strong"/>
          <w:b w:val="0"/>
          <w:szCs w:val="22"/>
        </w:rPr>
        <w:t>04/01/</w:t>
      </w:r>
      <w:r w:rsidR="008F1195">
        <w:rPr>
          <w:rStyle w:val="Strong"/>
          <w:b w:val="0"/>
          <w:szCs w:val="22"/>
        </w:rPr>
        <w:t>20</w:t>
      </w:r>
      <w:r w:rsidRPr="002A6455">
        <w:rPr>
          <w:rStyle w:val="Strong"/>
          <w:b w:val="0"/>
          <w:szCs w:val="22"/>
        </w:rPr>
        <w:t>17</w:t>
      </w:r>
      <w:r w:rsidR="008F1195">
        <w:rPr>
          <w:rStyle w:val="Strong"/>
          <w:b w:val="0"/>
          <w:szCs w:val="22"/>
        </w:rPr>
        <w:t>-</w:t>
      </w:r>
      <w:r w:rsidRPr="002A6455">
        <w:rPr>
          <w:rStyle w:val="Strong"/>
          <w:b w:val="0"/>
          <w:szCs w:val="22"/>
        </w:rPr>
        <w:t>12/31/</w:t>
      </w:r>
      <w:r w:rsidR="008F1195">
        <w:rPr>
          <w:rStyle w:val="Strong"/>
          <w:b w:val="0"/>
          <w:szCs w:val="22"/>
        </w:rPr>
        <w:t>20</w:t>
      </w:r>
      <w:r w:rsidRPr="002A6455">
        <w:rPr>
          <w:rStyle w:val="Strong"/>
          <w:b w:val="0"/>
          <w:szCs w:val="22"/>
        </w:rPr>
        <w:t>21</w:t>
      </w:r>
    </w:p>
    <w:p w14:paraId="4A6D4EF7" w14:textId="122DBF4B" w:rsidR="00C54022" w:rsidRPr="00865B25" w:rsidRDefault="00C54022" w:rsidP="00C54022">
      <w:pPr>
        <w:pStyle w:val="DataField11pt-Single"/>
        <w:rPr>
          <w:rStyle w:val="Strong"/>
          <w:bCs w:val="0"/>
          <w:szCs w:val="22"/>
        </w:rPr>
      </w:pPr>
      <w:r w:rsidRPr="00865B25">
        <w:rPr>
          <w:rStyle w:val="Strong"/>
          <w:bCs w:val="0"/>
          <w:szCs w:val="22"/>
        </w:rPr>
        <w:t>Child Development and Adult Social and Human Capital: COHORTS</w:t>
      </w:r>
    </w:p>
    <w:p w14:paraId="0010518E" w14:textId="230337C7" w:rsidR="00374A2D" w:rsidRDefault="006711D3" w:rsidP="00C54022">
      <w:pPr>
        <w:pStyle w:val="DataField11pt-Single"/>
        <w:rPr>
          <w:rStyle w:val="Strong"/>
          <w:b w:val="0"/>
          <w:szCs w:val="22"/>
        </w:rPr>
      </w:pPr>
      <w:r>
        <w:rPr>
          <w:rStyle w:val="Strong"/>
          <w:b w:val="0"/>
          <w:szCs w:val="22"/>
        </w:rPr>
        <w:t>Role: PI</w:t>
      </w:r>
    </w:p>
    <w:p w14:paraId="4D7F8663" w14:textId="7D397331" w:rsidR="006711D3" w:rsidRDefault="002C30AF" w:rsidP="00C54022">
      <w:pPr>
        <w:pStyle w:val="DataField11pt-Single"/>
        <w:rPr>
          <w:rStyle w:val="Strong"/>
          <w:b w:val="0"/>
          <w:szCs w:val="22"/>
        </w:rPr>
      </w:pPr>
      <w:r>
        <w:rPr>
          <w:rStyle w:val="Strong"/>
          <w:b w:val="0"/>
          <w:szCs w:val="22"/>
        </w:rPr>
        <w:t xml:space="preserve">In this project, we collected a wave of data on the now-adult members of three birth cohorts that have been followed prospectively to address questions of the associations between child growth and development on the one hand and adult cognitive and executive function on the other. </w:t>
      </w:r>
    </w:p>
    <w:p w14:paraId="20050A2D" w14:textId="7C641F0F" w:rsidR="008C321D" w:rsidRDefault="008C321D" w:rsidP="00C54022">
      <w:pPr>
        <w:pStyle w:val="DataField11pt-Single"/>
        <w:rPr>
          <w:rStyle w:val="Strong"/>
          <w:b w:val="0"/>
          <w:szCs w:val="22"/>
        </w:rPr>
      </w:pPr>
    </w:p>
    <w:p w14:paraId="280883ED" w14:textId="04A36025" w:rsidR="008C321D" w:rsidRPr="008C321D" w:rsidRDefault="008C321D" w:rsidP="008C321D">
      <w:pPr>
        <w:pStyle w:val="DataField11pt-Single"/>
        <w:ind w:left="720"/>
        <w:rPr>
          <w:rFonts w:asciiTheme="minorBidi" w:hAnsiTheme="minorBidi" w:cstheme="minorBidi"/>
          <w:bCs/>
          <w:szCs w:val="22"/>
        </w:rPr>
      </w:pPr>
      <w:r w:rsidRPr="008C321D">
        <w:rPr>
          <w:rFonts w:asciiTheme="minorBidi" w:hAnsiTheme="minorBidi" w:cstheme="minorBidi"/>
          <w:bCs/>
          <w:szCs w:val="22"/>
        </w:rPr>
        <w:t xml:space="preserve">Stein AD, Adair LS, Donati G, Wray C, Richter LM, Norris SA, Stein A, Martorell R, Ramirez-Zea M, Menezes AMB, Murray J, Victora C, Lee N, Bas I, COHORTS group. Early life stature, preschool cognitive development, schooling attainment, and cognitive functioning in adulthood: prospective study in four birth cohorts. </w:t>
      </w:r>
      <w:r w:rsidRPr="008C321D">
        <w:rPr>
          <w:rFonts w:asciiTheme="minorBidi" w:hAnsiTheme="minorBidi" w:cstheme="minorBidi"/>
          <w:bCs/>
          <w:szCs w:val="22"/>
          <w:u w:val="single"/>
        </w:rPr>
        <w:t>Lancet Global Health</w:t>
      </w:r>
      <w:r w:rsidRPr="008C321D">
        <w:rPr>
          <w:rFonts w:asciiTheme="minorBidi" w:hAnsiTheme="minorBidi" w:cstheme="minorBidi"/>
          <w:bCs/>
          <w:szCs w:val="22"/>
        </w:rPr>
        <w:t>. 2023 Jan;11(1</w:t>
      </w:r>
      <w:proofErr w:type="gramStart"/>
      <w:r w:rsidRPr="008C321D">
        <w:rPr>
          <w:rFonts w:asciiTheme="minorBidi" w:hAnsiTheme="minorBidi" w:cstheme="minorBidi"/>
          <w:bCs/>
          <w:szCs w:val="22"/>
        </w:rPr>
        <w:t>):e</w:t>
      </w:r>
      <w:proofErr w:type="gramEnd"/>
      <w:r w:rsidRPr="008C321D">
        <w:rPr>
          <w:rFonts w:asciiTheme="minorBidi" w:hAnsiTheme="minorBidi" w:cstheme="minorBidi"/>
          <w:bCs/>
          <w:szCs w:val="22"/>
        </w:rPr>
        <w:t xml:space="preserve">95-e104. </w:t>
      </w:r>
      <w:proofErr w:type="spellStart"/>
      <w:r w:rsidRPr="008C321D">
        <w:rPr>
          <w:rFonts w:asciiTheme="minorBidi" w:hAnsiTheme="minorBidi" w:cstheme="minorBidi"/>
          <w:bCs/>
          <w:szCs w:val="22"/>
        </w:rPr>
        <w:t>doi</w:t>
      </w:r>
      <w:proofErr w:type="spellEnd"/>
      <w:r w:rsidRPr="008C321D">
        <w:rPr>
          <w:rFonts w:asciiTheme="minorBidi" w:hAnsiTheme="minorBidi" w:cstheme="minorBidi"/>
          <w:bCs/>
          <w:szCs w:val="22"/>
        </w:rPr>
        <w:t>: 10.1016/S2214-109</w:t>
      </w:r>
      <w:proofErr w:type="gramStart"/>
      <w:r w:rsidRPr="008C321D">
        <w:rPr>
          <w:rFonts w:asciiTheme="minorBidi" w:hAnsiTheme="minorBidi" w:cstheme="minorBidi"/>
          <w:bCs/>
          <w:szCs w:val="22"/>
        </w:rPr>
        <w:t>X(</w:t>
      </w:r>
      <w:proofErr w:type="gramEnd"/>
      <w:r w:rsidRPr="008C321D">
        <w:rPr>
          <w:rFonts w:asciiTheme="minorBidi" w:hAnsiTheme="minorBidi" w:cstheme="minorBidi"/>
          <w:bCs/>
          <w:szCs w:val="22"/>
        </w:rPr>
        <w:t>22)00448-X. PMID: 36521958</w:t>
      </w:r>
    </w:p>
    <w:p w14:paraId="41F5E48C" w14:textId="77777777" w:rsidR="008C321D" w:rsidRPr="008C321D" w:rsidRDefault="008C321D" w:rsidP="008C321D">
      <w:pPr>
        <w:autoSpaceDE/>
        <w:autoSpaceDN/>
        <w:spacing w:afterLines="50" w:after="120"/>
        <w:ind w:left="720"/>
        <w:rPr>
          <w:rFonts w:asciiTheme="minorBidi" w:hAnsiTheme="minorBidi" w:cstheme="minorBidi"/>
          <w:bCs/>
          <w:szCs w:val="22"/>
        </w:rPr>
      </w:pPr>
    </w:p>
    <w:p w14:paraId="07E31248" w14:textId="54CC701D" w:rsidR="008C321D" w:rsidRPr="008C321D" w:rsidRDefault="008C321D" w:rsidP="008C321D">
      <w:pPr>
        <w:autoSpaceDE/>
        <w:autoSpaceDN/>
        <w:spacing w:afterLines="50" w:after="120"/>
        <w:ind w:left="720"/>
        <w:rPr>
          <w:rFonts w:asciiTheme="minorBidi" w:hAnsiTheme="minorBidi" w:cstheme="minorBidi"/>
          <w:bCs/>
          <w:szCs w:val="22"/>
        </w:rPr>
      </w:pPr>
      <w:r w:rsidRPr="008C321D">
        <w:rPr>
          <w:rFonts w:asciiTheme="minorBidi" w:hAnsiTheme="minorBidi" w:cstheme="minorBidi"/>
          <w:bCs/>
          <w:szCs w:val="22"/>
        </w:rPr>
        <w:t xml:space="preserve">Victora CG, Hartwig FP, Vidaletti LP, Martorell R, Osmond C, Richter LM, Stein AD, Stein A, Adair LS, Barros AJD, Barros FC, </w:t>
      </w:r>
      <w:proofErr w:type="spellStart"/>
      <w:r w:rsidRPr="008C321D">
        <w:rPr>
          <w:rFonts w:asciiTheme="minorBidi" w:hAnsiTheme="minorBidi" w:cstheme="minorBidi"/>
          <w:bCs/>
          <w:szCs w:val="22"/>
        </w:rPr>
        <w:t>Bharghava</w:t>
      </w:r>
      <w:proofErr w:type="spellEnd"/>
      <w:r w:rsidRPr="008C321D">
        <w:rPr>
          <w:rFonts w:asciiTheme="minorBidi" w:hAnsiTheme="minorBidi" w:cstheme="minorBidi"/>
          <w:bCs/>
          <w:szCs w:val="22"/>
        </w:rPr>
        <w:t xml:space="preserve"> SK, Horta BL, Kroker-Lobos FM, Lee NR, Menezes AMB, Murray J, Norris SA, Sachdev HPS, Stein A, Varghese JS*, Bhutta Z, Black RE. Effects of early-life poverty on health and human capital in children and adolescents: analyses of national surveys and birth cohort studies in LMICs. </w:t>
      </w:r>
      <w:r w:rsidRPr="008C321D">
        <w:rPr>
          <w:rFonts w:asciiTheme="minorBidi" w:hAnsiTheme="minorBidi" w:cstheme="minorBidi"/>
          <w:bCs/>
          <w:szCs w:val="22"/>
          <w:u w:val="single"/>
        </w:rPr>
        <w:t>Lancet</w:t>
      </w:r>
      <w:r w:rsidRPr="008C321D">
        <w:rPr>
          <w:rFonts w:asciiTheme="minorBidi" w:hAnsiTheme="minorBidi" w:cstheme="minorBidi"/>
          <w:bCs/>
          <w:szCs w:val="22"/>
        </w:rPr>
        <w:t xml:space="preserve">. 2022;399(10336):1741-1752. </w:t>
      </w:r>
      <w:proofErr w:type="spellStart"/>
      <w:r w:rsidRPr="008C321D">
        <w:rPr>
          <w:rFonts w:asciiTheme="minorBidi" w:hAnsiTheme="minorBidi" w:cstheme="minorBidi"/>
          <w:bCs/>
          <w:szCs w:val="22"/>
        </w:rPr>
        <w:t>doi</w:t>
      </w:r>
      <w:proofErr w:type="spellEnd"/>
      <w:r w:rsidRPr="008C321D">
        <w:rPr>
          <w:rFonts w:asciiTheme="minorBidi" w:hAnsiTheme="minorBidi" w:cstheme="minorBidi"/>
          <w:bCs/>
          <w:szCs w:val="22"/>
        </w:rPr>
        <w:t>: 10.1016/S0140-6736(21)02716-1. PMID: 35489358.</w:t>
      </w:r>
    </w:p>
    <w:p w14:paraId="0AAC1D0C" w14:textId="030CB696" w:rsidR="008C321D" w:rsidRDefault="008C321D" w:rsidP="008C321D">
      <w:pPr>
        <w:pStyle w:val="DataField11pt-Single"/>
        <w:ind w:left="720"/>
        <w:rPr>
          <w:rFonts w:asciiTheme="minorBidi" w:hAnsiTheme="minorBidi" w:cstheme="minorBidi"/>
          <w:bCs/>
          <w:szCs w:val="22"/>
        </w:rPr>
      </w:pPr>
      <w:r w:rsidRPr="008C321D">
        <w:rPr>
          <w:rFonts w:asciiTheme="minorBidi" w:hAnsiTheme="minorBidi" w:cstheme="minorBidi"/>
          <w:bCs/>
          <w:szCs w:val="22"/>
        </w:rPr>
        <w:t xml:space="preserve">Black RE, Liu L, Hartwig FP, Villavicencio F, Rodriguez-Martinez A, Vidaletti LP, Perin J, Black MM, Blencowe H, You D, Hug L, Masquelier B, Cousens S, Gove A, Vaivada T, Yeung D, Behrman J, Martorell R, Osmond C, Stein AD, Adair LS, Fall CHD, Horta BL, Menezes AMB, Ramirez-Zea M, Richter LM, Patton G, Bendavid E, Ezzati M, Bhutta ZA, Lawn J, Victora CG. Health and development from preconception to 20 years of age and human capital. </w:t>
      </w:r>
      <w:r w:rsidRPr="008C321D">
        <w:rPr>
          <w:rFonts w:asciiTheme="minorBidi" w:hAnsiTheme="minorBidi" w:cstheme="minorBidi"/>
          <w:bCs/>
          <w:szCs w:val="22"/>
          <w:u w:val="single"/>
        </w:rPr>
        <w:t>Lancet</w:t>
      </w:r>
      <w:r w:rsidRPr="008C321D">
        <w:rPr>
          <w:rFonts w:asciiTheme="minorBidi" w:hAnsiTheme="minorBidi" w:cstheme="minorBidi"/>
          <w:bCs/>
          <w:szCs w:val="22"/>
        </w:rPr>
        <w:t xml:space="preserve">. 2022;399(10336):1730-1740. </w:t>
      </w:r>
      <w:proofErr w:type="spellStart"/>
      <w:r w:rsidRPr="008C321D">
        <w:rPr>
          <w:rFonts w:asciiTheme="minorBidi" w:hAnsiTheme="minorBidi" w:cstheme="minorBidi"/>
          <w:bCs/>
          <w:szCs w:val="22"/>
        </w:rPr>
        <w:t>doi</w:t>
      </w:r>
      <w:proofErr w:type="spellEnd"/>
      <w:r w:rsidRPr="008C321D">
        <w:rPr>
          <w:rFonts w:asciiTheme="minorBidi" w:hAnsiTheme="minorBidi" w:cstheme="minorBidi"/>
          <w:bCs/>
          <w:szCs w:val="22"/>
        </w:rPr>
        <w:t>: 10.1016/S0140-6736(21)02533-2. PMID: 35489357</w:t>
      </w:r>
    </w:p>
    <w:p w14:paraId="19C55A35" w14:textId="59A6D3BE" w:rsidR="00865B25" w:rsidRDefault="00865B25" w:rsidP="008C321D">
      <w:pPr>
        <w:pStyle w:val="DataField11pt-Single"/>
        <w:ind w:left="720"/>
        <w:rPr>
          <w:rFonts w:asciiTheme="minorBidi" w:hAnsiTheme="minorBidi" w:cstheme="minorBidi"/>
          <w:bCs/>
          <w:szCs w:val="22"/>
        </w:rPr>
      </w:pPr>
    </w:p>
    <w:p w14:paraId="66823C19" w14:textId="77777777" w:rsidR="00865B25" w:rsidRPr="000728E4" w:rsidRDefault="00865B25" w:rsidP="00865B25">
      <w:pPr>
        <w:pStyle w:val="ListParagraph"/>
        <w:widowControl/>
        <w:autoSpaceDE/>
        <w:autoSpaceDN/>
        <w:adjustRightInd/>
        <w:spacing w:after="120"/>
        <w:ind w:left="720" w:firstLine="0"/>
        <w:rPr>
          <w:sz w:val="22"/>
          <w:szCs w:val="22"/>
        </w:rPr>
      </w:pPr>
      <w:r w:rsidRPr="000728E4">
        <w:rPr>
          <w:sz w:val="22"/>
          <w:szCs w:val="22"/>
        </w:rPr>
        <w:t xml:space="preserve">Poveda Rey NE*, Hartwig FP, Victora C, Adair LS, Barros FC, Bhargava SK, Horta BL, Lee NR, Martorell R, Mazariegos M, Menezes AMB, Norris SA, Richter LM, Sachdev HPS, Stein A, Wehrmeister FC, </w:t>
      </w:r>
      <w:r w:rsidRPr="000728E4">
        <w:rPr>
          <w:b/>
          <w:bCs/>
          <w:sz w:val="22"/>
          <w:szCs w:val="22"/>
        </w:rPr>
        <w:t>Stein AD</w:t>
      </w:r>
      <w:r w:rsidRPr="000728E4">
        <w:rPr>
          <w:sz w:val="22"/>
          <w:szCs w:val="22"/>
        </w:rPr>
        <w:t xml:space="preserve">, COHORTS group. Patterns of growth in childhood in relation to adult schooling attainment and IQ in 6 birth cohorts in low and middle-income countries: evidence from COHORTS. </w:t>
      </w:r>
      <w:r w:rsidRPr="000728E4">
        <w:rPr>
          <w:b/>
          <w:bCs/>
          <w:sz w:val="22"/>
          <w:szCs w:val="22"/>
          <w:u w:val="single"/>
        </w:rPr>
        <w:t>Journal of Nutrition</w:t>
      </w:r>
      <w:r w:rsidRPr="000728E4">
        <w:rPr>
          <w:sz w:val="22"/>
          <w:szCs w:val="22"/>
        </w:rPr>
        <w:t xml:space="preserve">. 2021 May 12. </w:t>
      </w:r>
      <w:proofErr w:type="spellStart"/>
      <w:r w:rsidRPr="000728E4">
        <w:rPr>
          <w:sz w:val="22"/>
          <w:szCs w:val="22"/>
        </w:rPr>
        <w:t>doi</w:t>
      </w:r>
      <w:proofErr w:type="spellEnd"/>
      <w:r w:rsidRPr="000728E4">
        <w:rPr>
          <w:sz w:val="22"/>
          <w:szCs w:val="22"/>
        </w:rPr>
        <w:t>: 10.1093/</w:t>
      </w:r>
      <w:proofErr w:type="spellStart"/>
      <w:r w:rsidRPr="000728E4">
        <w:rPr>
          <w:sz w:val="22"/>
          <w:szCs w:val="22"/>
        </w:rPr>
        <w:t>jn</w:t>
      </w:r>
      <w:proofErr w:type="spellEnd"/>
      <w:r w:rsidRPr="000728E4">
        <w:rPr>
          <w:sz w:val="22"/>
          <w:szCs w:val="22"/>
        </w:rPr>
        <w:t xml:space="preserve">/nxab096. PMID: 33982126 </w:t>
      </w:r>
    </w:p>
    <w:p w14:paraId="70160DA4" w14:textId="77777777" w:rsidR="00865B25" w:rsidRDefault="00865B25" w:rsidP="008C321D">
      <w:pPr>
        <w:pStyle w:val="DataField11pt-Single"/>
        <w:ind w:left="720"/>
        <w:rPr>
          <w:rStyle w:val="Strong"/>
          <w:b w:val="0"/>
          <w:szCs w:val="22"/>
        </w:rPr>
      </w:pPr>
    </w:p>
    <w:p w14:paraId="26D0DA4D" w14:textId="77777777" w:rsidR="002C30AF" w:rsidRPr="002A6455" w:rsidRDefault="002C30AF" w:rsidP="00C54022">
      <w:pPr>
        <w:pStyle w:val="DataField11pt-Single"/>
        <w:rPr>
          <w:rStyle w:val="Strong"/>
          <w:b w:val="0"/>
          <w:szCs w:val="22"/>
        </w:rPr>
      </w:pPr>
    </w:p>
    <w:p w14:paraId="48898E17" w14:textId="5B40D29A" w:rsidR="00374A2D" w:rsidRPr="008F1195" w:rsidRDefault="00374A2D" w:rsidP="00374A2D">
      <w:pPr>
        <w:pStyle w:val="DataField11pt-Single"/>
        <w:rPr>
          <w:rStyle w:val="Strong"/>
          <w:b w:val="0"/>
          <w:szCs w:val="22"/>
        </w:rPr>
      </w:pPr>
      <w:r w:rsidRPr="002A6455">
        <w:rPr>
          <w:rStyle w:val="Strong"/>
          <w:b w:val="0"/>
          <w:szCs w:val="22"/>
        </w:rPr>
        <w:t xml:space="preserve">HD-075784 </w:t>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008F1195">
        <w:rPr>
          <w:rStyle w:val="Strong"/>
          <w:b w:val="0"/>
          <w:szCs w:val="22"/>
        </w:rPr>
        <w:tab/>
      </w:r>
      <w:r w:rsidRPr="002A6455">
        <w:rPr>
          <w:rStyle w:val="Strong"/>
          <w:b w:val="0"/>
          <w:szCs w:val="22"/>
        </w:rPr>
        <w:t>Stein (PI)</w:t>
      </w:r>
      <w:r w:rsidRPr="002A6455">
        <w:rPr>
          <w:szCs w:val="22"/>
        </w:rPr>
        <w:t xml:space="preserve"> </w:t>
      </w:r>
      <w:r w:rsidR="008F1195">
        <w:rPr>
          <w:szCs w:val="22"/>
        </w:rPr>
        <w:tab/>
      </w:r>
      <w:r w:rsidR="008F1195">
        <w:rPr>
          <w:szCs w:val="22"/>
        </w:rPr>
        <w:tab/>
      </w:r>
      <w:r w:rsidR="00F651F6">
        <w:rPr>
          <w:szCs w:val="22"/>
        </w:rPr>
        <w:tab/>
      </w:r>
      <w:r w:rsidR="00F651F6">
        <w:rPr>
          <w:szCs w:val="22"/>
        </w:rPr>
        <w:tab/>
      </w:r>
      <w:r w:rsidR="00F651F6">
        <w:rPr>
          <w:szCs w:val="22"/>
        </w:rPr>
        <w:tab/>
      </w:r>
      <w:r w:rsidR="008F1195">
        <w:rPr>
          <w:szCs w:val="22"/>
        </w:rPr>
        <w:t>0</w:t>
      </w:r>
      <w:r w:rsidRPr="002A6455">
        <w:rPr>
          <w:rStyle w:val="Strong"/>
          <w:b w:val="0"/>
          <w:szCs w:val="22"/>
        </w:rPr>
        <w:t>4/10/2014</w:t>
      </w:r>
      <w:r w:rsidR="008F1195">
        <w:rPr>
          <w:rStyle w:val="Strong"/>
          <w:b w:val="0"/>
          <w:szCs w:val="22"/>
        </w:rPr>
        <w:t>-0</w:t>
      </w:r>
      <w:r w:rsidRPr="002A6455">
        <w:rPr>
          <w:rStyle w:val="Strong"/>
          <w:b w:val="0"/>
          <w:szCs w:val="22"/>
        </w:rPr>
        <w:t>3/31/2021</w:t>
      </w:r>
    </w:p>
    <w:p w14:paraId="4EC26DF9" w14:textId="635D16B2" w:rsidR="00374A2D" w:rsidRPr="00865B25" w:rsidRDefault="00374A2D" w:rsidP="00374A2D">
      <w:pPr>
        <w:pStyle w:val="DataField11pt-Single"/>
        <w:rPr>
          <w:rStyle w:val="Strong"/>
          <w:bCs w:val="0"/>
          <w:szCs w:val="22"/>
        </w:rPr>
      </w:pPr>
      <w:r w:rsidRPr="00865B25">
        <w:rPr>
          <w:rStyle w:val="Strong"/>
          <w:bCs w:val="0"/>
          <w:szCs w:val="22"/>
        </w:rPr>
        <w:t>Early childhood nutrition and adult metabolomic and cardiometabolic profiles</w:t>
      </w:r>
    </w:p>
    <w:p w14:paraId="01C847CE" w14:textId="77286174" w:rsidR="00ED72B5" w:rsidRDefault="006711D3" w:rsidP="00C54022">
      <w:pPr>
        <w:pStyle w:val="DataField11pt-Single"/>
        <w:rPr>
          <w:rStyle w:val="Strong"/>
          <w:b w:val="0"/>
          <w:szCs w:val="22"/>
        </w:rPr>
      </w:pPr>
      <w:r>
        <w:rPr>
          <w:rStyle w:val="Strong"/>
          <w:b w:val="0"/>
          <w:szCs w:val="22"/>
        </w:rPr>
        <w:t xml:space="preserve">Role: PI </w:t>
      </w:r>
    </w:p>
    <w:p w14:paraId="6EFE9CAF" w14:textId="049CC46C" w:rsidR="004B2C40" w:rsidRDefault="002C30AF" w:rsidP="004B2C40">
      <w:pPr>
        <w:pStyle w:val="DataField11pt-Single"/>
        <w:rPr>
          <w:rStyle w:val="Strong"/>
          <w:b w:val="0"/>
          <w:szCs w:val="22"/>
        </w:rPr>
      </w:pPr>
      <w:r>
        <w:rPr>
          <w:rStyle w:val="Strong"/>
          <w:b w:val="0"/>
          <w:szCs w:val="22"/>
        </w:rPr>
        <w:t xml:space="preserve">In this project we conducted a wave of field work, including a clinical examination and a feeding challenge, to members of the INSTC in Guatemala to address questions about the long-term metabolic consequences of improving nutrition in early life.  The data from this wave contribute to the current proposal </w:t>
      </w:r>
      <w:r w:rsidR="004B2C40">
        <w:rPr>
          <w:rStyle w:val="Strong"/>
          <w:b w:val="0"/>
          <w:szCs w:val="22"/>
        </w:rPr>
        <w:t>as the samples to be assayed and analyzed were collected during this field work</w:t>
      </w:r>
      <w:r>
        <w:rPr>
          <w:rStyle w:val="Strong"/>
          <w:b w:val="0"/>
          <w:szCs w:val="22"/>
        </w:rPr>
        <w:t>.</w:t>
      </w:r>
    </w:p>
    <w:p w14:paraId="0D281092" w14:textId="77777777" w:rsidR="008C321D" w:rsidRDefault="008C321D" w:rsidP="004B2C40">
      <w:pPr>
        <w:pStyle w:val="DataField11pt-Single"/>
        <w:rPr>
          <w:rStyle w:val="Strong"/>
          <w:b w:val="0"/>
          <w:szCs w:val="22"/>
        </w:rPr>
      </w:pPr>
    </w:p>
    <w:p w14:paraId="7A5B00A7" w14:textId="56C23FE9" w:rsidR="008C321D" w:rsidRPr="00865B25" w:rsidRDefault="008C321D" w:rsidP="00865B25">
      <w:pPr>
        <w:pStyle w:val="ListParagraph"/>
        <w:widowControl/>
        <w:autoSpaceDE/>
        <w:autoSpaceDN/>
        <w:adjustRightInd/>
        <w:spacing w:afterLines="50" w:after="120"/>
        <w:ind w:left="720" w:firstLine="0"/>
        <w:rPr>
          <w:rFonts w:asciiTheme="minorBidi" w:hAnsiTheme="minorBidi" w:cstheme="minorBidi"/>
          <w:color w:val="000000"/>
          <w:sz w:val="22"/>
          <w:szCs w:val="22"/>
          <w:shd w:val="clear" w:color="auto" w:fill="FFFFFF"/>
        </w:rPr>
      </w:pPr>
      <w:r w:rsidRPr="00865B25">
        <w:rPr>
          <w:rFonts w:asciiTheme="minorBidi" w:hAnsiTheme="minorBidi" w:cstheme="minorBidi"/>
          <w:color w:val="000000"/>
          <w:sz w:val="22"/>
          <w:szCs w:val="22"/>
          <w:shd w:val="clear" w:color="auto" w:fill="FFFFFF"/>
        </w:rPr>
        <w:t xml:space="preserve">Yu EA, Le NA, Stein AD. Measuring postprandial metabolic flexibility to assess metabolic health and disease. </w:t>
      </w:r>
      <w:r w:rsidRPr="00865B25">
        <w:rPr>
          <w:rFonts w:asciiTheme="minorBidi" w:hAnsiTheme="minorBidi" w:cstheme="minorBidi"/>
          <w:color w:val="000000"/>
          <w:sz w:val="22"/>
          <w:szCs w:val="22"/>
          <w:u w:val="single"/>
          <w:shd w:val="clear" w:color="auto" w:fill="FFFFFF"/>
        </w:rPr>
        <w:t>Journal of Nutrition</w:t>
      </w:r>
      <w:r w:rsidRPr="00865B25">
        <w:rPr>
          <w:rFonts w:asciiTheme="minorBidi" w:hAnsiTheme="minorBidi" w:cstheme="minorBidi"/>
          <w:color w:val="000000"/>
          <w:sz w:val="22"/>
          <w:szCs w:val="22"/>
          <w:shd w:val="clear" w:color="auto" w:fill="FFFFFF"/>
        </w:rPr>
        <w:t xml:space="preserve">. 2021. Jul </w:t>
      </w:r>
      <w:proofErr w:type="gramStart"/>
      <w:r w:rsidRPr="00865B25">
        <w:rPr>
          <w:rFonts w:asciiTheme="minorBidi" w:hAnsiTheme="minorBidi" w:cstheme="minorBidi"/>
          <w:color w:val="000000"/>
          <w:sz w:val="22"/>
          <w:szCs w:val="22"/>
          <w:shd w:val="clear" w:color="auto" w:fill="FFFFFF"/>
        </w:rPr>
        <w:t>22:nxab</w:t>
      </w:r>
      <w:proofErr w:type="gramEnd"/>
      <w:r w:rsidRPr="00865B25">
        <w:rPr>
          <w:rFonts w:asciiTheme="minorBidi" w:hAnsiTheme="minorBidi" w:cstheme="minorBidi"/>
          <w:color w:val="000000"/>
          <w:sz w:val="22"/>
          <w:szCs w:val="22"/>
          <w:shd w:val="clear" w:color="auto" w:fill="FFFFFF"/>
        </w:rPr>
        <w:t xml:space="preserve">263. </w:t>
      </w:r>
      <w:proofErr w:type="spellStart"/>
      <w:r w:rsidRPr="00865B25">
        <w:rPr>
          <w:rFonts w:asciiTheme="minorBidi" w:hAnsiTheme="minorBidi" w:cstheme="minorBidi"/>
          <w:color w:val="000000"/>
          <w:sz w:val="22"/>
          <w:szCs w:val="22"/>
          <w:shd w:val="clear" w:color="auto" w:fill="FFFFFF"/>
        </w:rPr>
        <w:t>doi</w:t>
      </w:r>
      <w:proofErr w:type="spellEnd"/>
      <w:r w:rsidRPr="00865B25">
        <w:rPr>
          <w:rFonts w:asciiTheme="minorBidi" w:hAnsiTheme="minorBidi" w:cstheme="minorBidi"/>
          <w:color w:val="000000"/>
          <w:sz w:val="22"/>
          <w:szCs w:val="22"/>
          <w:shd w:val="clear" w:color="auto" w:fill="FFFFFF"/>
        </w:rPr>
        <w:t>: 10.1093/</w:t>
      </w:r>
      <w:proofErr w:type="spellStart"/>
      <w:r w:rsidRPr="00865B25">
        <w:rPr>
          <w:rFonts w:asciiTheme="minorBidi" w:hAnsiTheme="minorBidi" w:cstheme="minorBidi"/>
          <w:color w:val="000000"/>
          <w:sz w:val="22"/>
          <w:szCs w:val="22"/>
          <w:shd w:val="clear" w:color="auto" w:fill="FFFFFF"/>
        </w:rPr>
        <w:t>jn</w:t>
      </w:r>
      <w:proofErr w:type="spellEnd"/>
      <w:r w:rsidRPr="00865B25">
        <w:rPr>
          <w:rFonts w:asciiTheme="minorBidi" w:hAnsiTheme="minorBidi" w:cstheme="minorBidi"/>
          <w:color w:val="000000"/>
          <w:sz w:val="22"/>
          <w:szCs w:val="22"/>
          <w:shd w:val="clear" w:color="auto" w:fill="FFFFFF"/>
        </w:rPr>
        <w:t>/nxab263. PMID: 34293154</w:t>
      </w:r>
    </w:p>
    <w:p w14:paraId="4ECE293A" w14:textId="77777777" w:rsidR="008C321D" w:rsidRPr="00865B25" w:rsidRDefault="008C321D" w:rsidP="00865B25">
      <w:pPr>
        <w:pStyle w:val="ListParagraph"/>
        <w:widowControl/>
        <w:autoSpaceDE/>
        <w:autoSpaceDN/>
        <w:adjustRightInd/>
        <w:spacing w:after="120"/>
        <w:ind w:left="720" w:firstLine="0"/>
        <w:rPr>
          <w:rFonts w:asciiTheme="minorBidi" w:hAnsiTheme="minorBidi" w:cstheme="minorBidi"/>
          <w:sz w:val="22"/>
          <w:szCs w:val="22"/>
        </w:rPr>
      </w:pPr>
      <w:r w:rsidRPr="00865B25">
        <w:rPr>
          <w:rFonts w:asciiTheme="minorBidi" w:hAnsiTheme="minorBidi" w:cstheme="minorBidi"/>
          <w:sz w:val="22"/>
          <w:szCs w:val="22"/>
        </w:rPr>
        <w:t xml:space="preserve">Yu EA, He S, Jones DP, Sun YV, Ramirez-Zea M, Stein AD. </w:t>
      </w:r>
      <w:hyperlink r:id="rId10" w:history="1">
        <w:r w:rsidRPr="00865B25">
          <w:rPr>
            <w:rFonts w:asciiTheme="minorBidi" w:hAnsiTheme="minorBidi" w:cstheme="minorBidi"/>
            <w:sz w:val="22"/>
            <w:szCs w:val="22"/>
          </w:rPr>
          <w:t xml:space="preserve">metabolomic profiling demonstrates postprandial changes in fatty acids and glycerophospholipids are associated with fasting inflammation in Guatemalan adults. </w:t>
        </w:r>
      </w:hyperlink>
      <w:r w:rsidRPr="00865B25">
        <w:rPr>
          <w:rFonts w:asciiTheme="minorBidi" w:hAnsiTheme="minorBidi" w:cstheme="minorBidi"/>
          <w:sz w:val="22"/>
          <w:szCs w:val="22"/>
          <w:u w:val="single"/>
        </w:rPr>
        <w:t>Journal of Nutrition</w:t>
      </w:r>
      <w:r w:rsidRPr="00865B25">
        <w:rPr>
          <w:rFonts w:asciiTheme="minorBidi" w:hAnsiTheme="minorBidi" w:cstheme="minorBidi"/>
          <w:sz w:val="22"/>
          <w:szCs w:val="22"/>
        </w:rPr>
        <w:t xml:space="preserve">. 2021 Jun </w:t>
      </w:r>
      <w:proofErr w:type="gramStart"/>
      <w:r w:rsidRPr="00865B25">
        <w:rPr>
          <w:rFonts w:asciiTheme="minorBidi" w:hAnsiTheme="minorBidi" w:cstheme="minorBidi"/>
          <w:sz w:val="22"/>
          <w:szCs w:val="22"/>
        </w:rPr>
        <w:t>10:nxab</w:t>
      </w:r>
      <w:proofErr w:type="gramEnd"/>
      <w:r w:rsidRPr="00865B25">
        <w:rPr>
          <w:rFonts w:asciiTheme="minorBidi" w:hAnsiTheme="minorBidi" w:cstheme="minorBidi"/>
          <w:sz w:val="22"/>
          <w:szCs w:val="22"/>
        </w:rPr>
        <w:t xml:space="preserve">183. </w:t>
      </w:r>
      <w:proofErr w:type="spellStart"/>
      <w:r w:rsidRPr="00865B25">
        <w:rPr>
          <w:rFonts w:asciiTheme="minorBidi" w:hAnsiTheme="minorBidi" w:cstheme="minorBidi"/>
          <w:sz w:val="22"/>
          <w:szCs w:val="22"/>
        </w:rPr>
        <w:t>doi</w:t>
      </w:r>
      <w:proofErr w:type="spellEnd"/>
      <w:r w:rsidRPr="00865B25">
        <w:rPr>
          <w:rFonts w:asciiTheme="minorBidi" w:hAnsiTheme="minorBidi" w:cstheme="minorBidi"/>
          <w:sz w:val="22"/>
          <w:szCs w:val="22"/>
        </w:rPr>
        <w:t>: 10.1093/</w:t>
      </w:r>
      <w:proofErr w:type="spellStart"/>
      <w:r w:rsidRPr="00865B25">
        <w:rPr>
          <w:rFonts w:asciiTheme="minorBidi" w:hAnsiTheme="minorBidi" w:cstheme="minorBidi"/>
          <w:sz w:val="22"/>
          <w:szCs w:val="22"/>
        </w:rPr>
        <w:t>jn</w:t>
      </w:r>
      <w:proofErr w:type="spellEnd"/>
      <w:r w:rsidRPr="00865B25">
        <w:rPr>
          <w:rFonts w:asciiTheme="minorBidi" w:hAnsiTheme="minorBidi" w:cstheme="minorBidi"/>
          <w:sz w:val="22"/>
          <w:szCs w:val="22"/>
        </w:rPr>
        <w:t xml:space="preserve">/nxab183. PMID: 34113999 </w:t>
      </w:r>
    </w:p>
    <w:p w14:paraId="184F42CA" w14:textId="4D6C81F4" w:rsidR="008C321D" w:rsidRPr="00865B25" w:rsidRDefault="008C321D" w:rsidP="00865B25">
      <w:pPr>
        <w:pStyle w:val="ListParagraph"/>
        <w:widowControl/>
        <w:autoSpaceDE/>
        <w:autoSpaceDN/>
        <w:adjustRightInd/>
        <w:spacing w:afterLines="50" w:after="120"/>
        <w:ind w:left="720" w:firstLine="0"/>
        <w:rPr>
          <w:rFonts w:asciiTheme="minorBidi" w:hAnsiTheme="minorBidi" w:cstheme="minorBidi"/>
          <w:sz w:val="22"/>
          <w:szCs w:val="22"/>
        </w:rPr>
      </w:pPr>
      <w:r w:rsidRPr="00865B25">
        <w:rPr>
          <w:rFonts w:asciiTheme="minorBidi" w:hAnsiTheme="minorBidi" w:cstheme="minorBidi"/>
          <w:sz w:val="22"/>
          <w:szCs w:val="22"/>
        </w:rPr>
        <w:t xml:space="preserve">He S, Le N-A, Ramirez-Zea M, Martorell R, Narayan KMV, Stein AD. </w:t>
      </w:r>
      <w:r w:rsidRPr="00865B25">
        <w:rPr>
          <w:sz w:val="22"/>
          <w:szCs w:val="22"/>
        </w:rPr>
        <w:t xml:space="preserve">Meal challenge-induced biomarker responses differed by cardiometabolic phenotypes in a Guatemalan adult population. </w:t>
      </w:r>
      <w:r w:rsidRPr="00865B25">
        <w:rPr>
          <w:sz w:val="22"/>
          <w:szCs w:val="22"/>
          <w:u w:val="single"/>
        </w:rPr>
        <w:t xml:space="preserve">Clinical </w:t>
      </w:r>
      <w:r w:rsidRPr="00865B25">
        <w:rPr>
          <w:sz w:val="22"/>
          <w:szCs w:val="22"/>
          <w:u w:val="single"/>
        </w:rPr>
        <w:lastRenderedPageBreak/>
        <w:t>Nutrition ESPEN</w:t>
      </w:r>
      <w:r w:rsidRPr="00865B25">
        <w:rPr>
          <w:sz w:val="22"/>
          <w:szCs w:val="22"/>
        </w:rPr>
        <w:t xml:space="preserve">. </w:t>
      </w:r>
      <w:r w:rsidRPr="00865B25">
        <w:rPr>
          <w:rStyle w:val="docsum-journal-citation"/>
          <w:sz w:val="22"/>
          <w:szCs w:val="22"/>
        </w:rPr>
        <w:t xml:space="preserve">2021 </w:t>
      </w:r>
      <w:proofErr w:type="gramStart"/>
      <w:r w:rsidRPr="00865B25">
        <w:rPr>
          <w:rStyle w:val="docsum-journal-citation"/>
          <w:sz w:val="22"/>
          <w:szCs w:val="22"/>
        </w:rPr>
        <w:t>Dec;46:372</w:t>
      </w:r>
      <w:proofErr w:type="gramEnd"/>
      <w:r w:rsidRPr="00865B25">
        <w:rPr>
          <w:rStyle w:val="docsum-journal-citation"/>
          <w:sz w:val="22"/>
          <w:szCs w:val="22"/>
        </w:rPr>
        <w:t xml:space="preserve">-379. </w:t>
      </w:r>
      <w:proofErr w:type="spellStart"/>
      <w:r w:rsidRPr="00865B25">
        <w:rPr>
          <w:rStyle w:val="docsum-journal-citation"/>
          <w:sz w:val="22"/>
          <w:szCs w:val="22"/>
        </w:rPr>
        <w:t>doi</w:t>
      </w:r>
      <w:proofErr w:type="spellEnd"/>
      <w:r w:rsidRPr="00865B25">
        <w:rPr>
          <w:rStyle w:val="docsum-journal-citation"/>
          <w:sz w:val="22"/>
          <w:szCs w:val="22"/>
        </w:rPr>
        <w:t xml:space="preserve">: 10.1016/j.clnesp.2021.09.730. </w:t>
      </w:r>
      <w:proofErr w:type="spellStart"/>
      <w:r w:rsidRPr="00865B25">
        <w:rPr>
          <w:rStyle w:val="docsum-journal-citation"/>
          <w:sz w:val="22"/>
          <w:szCs w:val="22"/>
        </w:rPr>
        <w:t>Epub</w:t>
      </w:r>
      <w:proofErr w:type="spellEnd"/>
      <w:r w:rsidRPr="00865B25">
        <w:rPr>
          <w:rStyle w:val="docsum-journal-citation"/>
          <w:sz w:val="22"/>
          <w:szCs w:val="22"/>
        </w:rPr>
        <w:t xml:space="preserve"> 2021 Sep 28.</w:t>
      </w:r>
      <w:r w:rsidRPr="00865B25">
        <w:rPr>
          <w:sz w:val="22"/>
          <w:szCs w:val="22"/>
        </w:rPr>
        <w:t xml:space="preserve"> </w:t>
      </w:r>
      <w:r w:rsidRPr="00865B25">
        <w:rPr>
          <w:rStyle w:val="citation-part"/>
          <w:sz w:val="22"/>
          <w:szCs w:val="22"/>
        </w:rPr>
        <w:t xml:space="preserve">PMID: </w:t>
      </w:r>
      <w:r w:rsidRPr="00865B25">
        <w:rPr>
          <w:rStyle w:val="docsum-pmid"/>
          <w:sz w:val="22"/>
          <w:szCs w:val="22"/>
        </w:rPr>
        <w:t>34857223</w:t>
      </w:r>
      <w:r w:rsidRPr="00865B25">
        <w:rPr>
          <w:rFonts w:asciiTheme="minorBidi" w:hAnsiTheme="minorBidi" w:cstheme="minorBidi"/>
          <w:iCs/>
          <w:sz w:val="22"/>
          <w:szCs w:val="22"/>
        </w:rPr>
        <w:t>.</w:t>
      </w:r>
      <w:r w:rsidRPr="00865B25">
        <w:rPr>
          <w:rFonts w:asciiTheme="minorBidi" w:hAnsiTheme="minorBidi" w:cstheme="minorBidi"/>
          <w:sz w:val="22"/>
          <w:szCs w:val="22"/>
        </w:rPr>
        <w:t xml:space="preserve"> </w:t>
      </w:r>
    </w:p>
    <w:p w14:paraId="5E4EC525" w14:textId="4F4A2046" w:rsidR="00865B25" w:rsidRPr="00865B25" w:rsidRDefault="00865B25" w:rsidP="00865B25">
      <w:pPr>
        <w:pStyle w:val="ListParagraph"/>
        <w:widowControl/>
        <w:autoSpaceDE/>
        <w:autoSpaceDN/>
        <w:adjustRightInd/>
        <w:spacing w:afterLines="50" w:after="120"/>
        <w:ind w:left="720" w:firstLine="0"/>
        <w:rPr>
          <w:rFonts w:asciiTheme="minorBidi" w:hAnsiTheme="minorBidi" w:cstheme="minorBidi"/>
          <w:sz w:val="22"/>
          <w:szCs w:val="22"/>
        </w:rPr>
      </w:pPr>
      <w:r w:rsidRPr="00865B25">
        <w:rPr>
          <w:rFonts w:asciiTheme="minorBidi" w:hAnsiTheme="minorBidi" w:cstheme="minorBidi"/>
          <w:sz w:val="22"/>
          <w:szCs w:val="22"/>
          <w:shd w:val="clear" w:color="auto" w:fill="FFFFFF"/>
        </w:rPr>
        <w:t xml:space="preserve">Yu EA, Yu T, Jones DP, Ramirez-Zea M, Stein AD. </w:t>
      </w:r>
      <w:r w:rsidRPr="00865B25">
        <w:rPr>
          <w:rFonts w:asciiTheme="minorBidi" w:hAnsiTheme="minorBidi" w:cstheme="minorBidi"/>
          <w:sz w:val="22"/>
          <w:szCs w:val="22"/>
        </w:rPr>
        <w:t>Metabolomic Profiling After a Meal Shows Greater Changes and Lower Metabolic Flexibility in Cardiometabolic Diseases.</w:t>
      </w:r>
      <w:r w:rsidRPr="00865B25">
        <w:rPr>
          <w:rFonts w:asciiTheme="minorBidi" w:hAnsiTheme="minorBidi" w:cstheme="minorBidi"/>
          <w:sz w:val="22"/>
          <w:szCs w:val="22"/>
          <w:shd w:val="clear" w:color="auto" w:fill="FFFFFF"/>
        </w:rPr>
        <w:t xml:space="preserve"> </w:t>
      </w:r>
      <w:r w:rsidRPr="00865B25">
        <w:rPr>
          <w:rFonts w:asciiTheme="minorBidi" w:hAnsiTheme="minorBidi" w:cstheme="minorBidi"/>
          <w:sz w:val="22"/>
          <w:szCs w:val="22"/>
          <w:u w:val="single"/>
          <w:shd w:val="clear" w:color="auto" w:fill="FFFFFF"/>
        </w:rPr>
        <w:t>Journal of the Endocrine Society</w:t>
      </w:r>
      <w:r w:rsidRPr="00865B25">
        <w:rPr>
          <w:rFonts w:asciiTheme="minorBidi" w:hAnsiTheme="minorBidi" w:cstheme="minorBidi"/>
          <w:sz w:val="22"/>
          <w:szCs w:val="22"/>
          <w:shd w:val="clear" w:color="auto" w:fill="FFFFFF"/>
        </w:rPr>
        <w:t xml:space="preserve">. </w:t>
      </w:r>
      <w:r w:rsidRPr="00865B25">
        <w:rPr>
          <w:rFonts w:asciiTheme="minorBidi" w:hAnsiTheme="minorBidi" w:cstheme="minorBidi"/>
          <w:sz w:val="22"/>
          <w:szCs w:val="22"/>
        </w:rPr>
        <w:t>2020. 2020 Aug 25;4(11</w:t>
      </w:r>
      <w:proofErr w:type="gramStart"/>
      <w:r w:rsidRPr="00865B25">
        <w:rPr>
          <w:rFonts w:asciiTheme="minorBidi" w:hAnsiTheme="minorBidi" w:cstheme="minorBidi"/>
          <w:sz w:val="22"/>
          <w:szCs w:val="22"/>
        </w:rPr>
        <w:t>):bvaa</w:t>
      </w:r>
      <w:proofErr w:type="gramEnd"/>
      <w:r w:rsidRPr="00865B25">
        <w:rPr>
          <w:rFonts w:asciiTheme="minorBidi" w:hAnsiTheme="minorBidi" w:cstheme="minorBidi"/>
          <w:sz w:val="22"/>
          <w:szCs w:val="22"/>
        </w:rPr>
        <w:t xml:space="preserve">127. </w:t>
      </w:r>
      <w:proofErr w:type="spellStart"/>
      <w:r w:rsidRPr="00865B25">
        <w:rPr>
          <w:rFonts w:asciiTheme="minorBidi" w:hAnsiTheme="minorBidi" w:cstheme="minorBidi"/>
          <w:sz w:val="22"/>
          <w:szCs w:val="22"/>
        </w:rPr>
        <w:t>doi</w:t>
      </w:r>
      <w:proofErr w:type="spellEnd"/>
      <w:r w:rsidRPr="00865B25">
        <w:rPr>
          <w:rFonts w:asciiTheme="minorBidi" w:hAnsiTheme="minorBidi" w:cstheme="minorBidi"/>
          <w:sz w:val="22"/>
          <w:szCs w:val="22"/>
        </w:rPr>
        <w:t>: 10.1210/</w:t>
      </w:r>
      <w:proofErr w:type="spellStart"/>
      <w:r w:rsidRPr="00865B25">
        <w:rPr>
          <w:rFonts w:asciiTheme="minorBidi" w:hAnsiTheme="minorBidi" w:cstheme="minorBidi"/>
          <w:sz w:val="22"/>
          <w:szCs w:val="22"/>
        </w:rPr>
        <w:t>jendso</w:t>
      </w:r>
      <w:proofErr w:type="spellEnd"/>
      <w:r w:rsidRPr="00865B25">
        <w:rPr>
          <w:rFonts w:asciiTheme="minorBidi" w:hAnsiTheme="minorBidi" w:cstheme="minorBidi"/>
          <w:sz w:val="22"/>
          <w:szCs w:val="22"/>
        </w:rPr>
        <w:t xml:space="preserve">/bvaa127. </w:t>
      </w:r>
      <w:proofErr w:type="spellStart"/>
      <w:r w:rsidRPr="00865B25">
        <w:rPr>
          <w:rFonts w:asciiTheme="minorBidi" w:hAnsiTheme="minorBidi" w:cstheme="minorBidi"/>
          <w:sz w:val="22"/>
          <w:szCs w:val="22"/>
        </w:rPr>
        <w:t>eCollection</w:t>
      </w:r>
      <w:proofErr w:type="spellEnd"/>
      <w:r w:rsidRPr="00865B25">
        <w:rPr>
          <w:rFonts w:asciiTheme="minorBidi" w:hAnsiTheme="minorBidi" w:cstheme="minorBidi"/>
          <w:sz w:val="22"/>
          <w:szCs w:val="22"/>
        </w:rPr>
        <w:t xml:space="preserve"> 2020 Nov 1. PMID: 33134764</w:t>
      </w:r>
    </w:p>
    <w:p w14:paraId="2637269A" w14:textId="0BD2B8C1" w:rsidR="00865B25" w:rsidRPr="00865B25" w:rsidRDefault="00865B25" w:rsidP="00865B25">
      <w:pPr>
        <w:suppressAutoHyphens/>
        <w:autoSpaceDE/>
        <w:autoSpaceDN/>
        <w:spacing w:after="120"/>
        <w:ind w:left="720"/>
        <w:rPr>
          <w:rFonts w:asciiTheme="minorBidi" w:hAnsiTheme="minorBidi" w:cstheme="minorBidi"/>
          <w:szCs w:val="22"/>
        </w:rPr>
      </w:pPr>
      <w:r w:rsidRPr="00865B25">
        <w:rPr>
          <w:rFonts w:asciiTheme="minorBidi" w:hAnsiTheme="minorBidi" w:cstheme="minorBidi"/>
          <w:szCs w:val="22"/>
        </w:rPr>
        <w:t xml:space="preserve">Ford ND, Behrman JR, Hoddinott JF, </w:t>
      </w:r>
      <w:proofErr w:type="spellStart"/>
      <w:r w:rsidRPr="00865B25">
        <w:rPr>
          <w:rFonts w:asciiTheme="minorBidi" w:hAnsiTheme="minorBidi" w:cstheme="minorBidi"/>
          <w:szCs w:val="22"/>
        </w:rPr>
        <w:t>Maluccio</w:t>
      </w:r>
      <w:proofErr w:type="spellEnd"/>
      <w:r w:rsidRPr="00865B25">
        <w:rPr>
          <w:rFonts w:asciiTheme="minorBidi" w:hAnsiTheme="minorBidi" w:cstheme="minorBidi"/>
          <w:szCs w:val="22"/>
        </w:rPr>
        <w:t xml:space="preserve"> JA, Martorell R, Ramirez-Zea M, Stein AD. Exposure to improved nutrition from conception to age two years and adult cardiometabolic disease risk: a modelling study. </w:t>
      </w:r>
      <w:r w:rsidRPr="00865B25">
        <w:rPr>
          <w:rFonts w:asciiTheme="minorBidi" w:hAnsiTheme="minorBidi" w:cstheme="minorBidi"/>
          <w:szCs w:val="22"/>
          <w:u w:val="single"/>
        </w:rPr>
        <w:t>Lancet Global Health</w:t>
      </w:r>
      <w:r w:rsidRPr="00865B25">
        <w:rPr>
          <w:rFonts w:asciiTheme="minorBidi" w:hAnsiTheme="minorBidi" w:cstheme="minorBidi"/>
          <w:szCs w:val="22"/>
        </w:rPr>
        <w:t>. 2018; 6: e875–84. https://doi.org/10.1016/S2214-109X(18)30231-6.  PMID: 30012268</w:t>
      </w:r>
    </w:p>
    <w:p w14:paraId="267BAEFE" w14:textId="539F4A8D" w:rsidR="00ED72B5" w:rsidRDefault="00ED72B5" w:rsidP="00C54022">
      <w:pPr>
        <w:pStyle w:val="DataField11pt-Single"/>
        <w:rPr>
          <w:rStyle w:val="Strong"/>
          <w:szCs w:val="22"/>
        </w:rPr>
      </w:pPr>
    </w:p>
    <w:p w14:paraId="20FBF1D2" w14:textId="77777777" w:rsidR="003F26A5" w:rsidRPr="002A6455" w:rsidRDefault="003F26A5" w:rsidP="00C54022">
      <w:pPr>
        <w:pStyle w:val="DataField11pt-Single"/>
        <w:rPr>
          <w:rStyle w:val="Strong"/>
          <w:szCs w:val="22"/>
        </w:rPr>
      </w:pPr>
    </w:p>
    <w:p w14:paraId="11BDF879" w14:textId="77777777" w:rsidR="002A6455" w:rsidRDefault="002C51BC" w:rsidP="002C51BC">
      <w:pPr>
        <w:pStyle w:val="DataField11pt-Single"/>
        <w:rPr>
          <w:rStyle w:val="Strong"/>
          <w:szCs w:val="22"/>
        </w:rPr>
      </w:pPr>
      <w:r w:rsidRPr="002A6455">
        <w:rPr>
          <w:rStyle w:val="Strong"/>
          <w:szCs w:val="22"/>
        </w:rPr>
        <w:t>B.</w:t>
      </w:r>
      <w:r w:rsidRPr="002A6455">
        <w:rPr>
          <w:rStyle w:val="Strong"/>
          <w:szCs w:val="22"/>
        </w:rPr>
        <w:tab/>
        <w:t>Positions</w:t>
      </w:r>
      <w:r w:rsidR="00CF6FAD" w:rsidRPr="002A6455">
        <w:rPr>
          <w:rStyle w:val="Strong"/>
          <w:szCs w:val="22"/>
        </w:rPr>
        <w:t>, Scientific Appointments,</w:t>
      </w:r>
      <w:r w:rsidRPr="002A6455">
        <w:rPr>
          <w:rStyle w:val="Strong"/>
          <w:szCs w:val="22"/>
        </w:rPr>
        <w:t xml:space="preserve"> and Honors</w:t>
      </w:r>
    </w:p>
    <w:p w14:paraId="7DB93024" w14:textId="77777777" w:rsidR="00F651F6" w:rsidRDefault="00F651F6" w:rsidP="00D16E53">
      <w:pPr>
        <w:pStyle w:val="DataField11pt-Single"/>
        <w:rPr>
          <w:rStyle w:val="Strong"/>
          <w:szCs w:val="22"/>
        </w:rPr>
      </w:pPr>
    </w:p>
    <w:p w14:paraId="506DE339" w14:textId="09452F82" w:rsidR="009B1CE9" w:rsidRDefault="002A6455" w:rsidP="00D16E53">
      <w:pPr>
        <w:pStyle w:val="DataField11pt-Single"/>
        <w:rPr>
          <w:rStyle w:val="Strong"/>
          <w:szCs w:val="22"/>
        </w:rPr>
      </w:pPr>
      <w:r w:rsidRPr="002A6455">
        <w:rPr>
          <w:rStyle w:val="Strong"/>
          <w:szCs w:val="22"/>
        </w:rPr>
        <w:t>Positions</w:t>
      </w:r>
      <w:r w:rsidR="00F651F6">
        <w:rPr>
          <w:rStyle w:val="Strong"/>
          <w:szCs w:val="22"/>
        </w:rPr>
        <w:t xml:space="preserve"> and </w:t>
      </w:r>
      <w:r w:rsidRPr="002A6455">
        <w:rPr>
          <w:rStyle w:val="Strong"/>
          <w:szCs w:val="22"/>
        </w:rPr>
        <w:t>Scientific Appointments</w:t>
      </w:r>
    </w:p>
    <w:p w14:paraId="5AE6DC66" w14:textId="2C7822DF" w:rsidR="000F7489" w:rsidRPr="002A6455" w:rsidRDefault="000F7489" w:rsidP="00D16E53">
      <w:pPr>
        <w:pStyle w:val="DataField11pt-Single"/>
        <w:rPr>
          <w:rStyle w:val="Strong"/>
          <w:szCs w:val="2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550"/>
      </w:tblGrid>
      <w:tr w:rsidR="000F7489" w14:paraId="1B3E2F01" w14:textId="77777777" w:rsidTr="006711D3">
        <w:trPr>
          <w:trHeight w:val="360"/>
        </w:trPr>
        <w:tc>
          <w:tcPr>
            <w:tcW w:w="1705" w:type="dxa"/>
          </w:tcPr>
          <w:p w14:paraId="65A22AC4" w14:textId="0C8E4E20" w:rsidR="000F7489" w:rsidRDefault="000F7489" w:rsidP="00D824BD">
            <w:pPr>
              <w:pStyle w:val="DataField11pt-Single"/>
              <w:rPr>
                <w:rStyle w:val="Strong"/>
                <w:szCs w:val="22"/>
              </w:rPr>
            </w:pPr>
            <w:r w:rsidRPr="00790FF5">
              <w:t>2020</w:t>
            </w:r>
            <w:r>
              <w:t>-present</w:t>
            </w:r>
            <w:r w:rsidR="001817A4">
              <w:t xml:space="preserve">, </w:t>
            </w:r>
            <w:r w:rsidR="001817A4" w:rsidRPr="00790FF5">
              <w:t>2000</w:t>
            </w:r>
            <w:r w:rsidR="001817A4">
              <w:t>-</w:t>
            </w:r>
            <w:r w:rsidR="001817A4" w:rsidRPr="00790FF5">
              <w:t>2014</w:t>
            </w:r>
          </w:p>
        </w:tc>
        <w:tc>
          <w:tcPr>
            <w:tcW w:w="8550" w:type="dxa"/>
          </w:tcPr>
          <w:p w14:paraId="194F88C2" w14:textId="36A159AB" w:rsidR="000F7489" w:rsidRPr="001B447F" w:rsidRDefault="000F7489" w:rsidP="00D824BD">
            <w:pPr>
              <w:pStyle w:val="DataField11pt-Single"/>
              <w:rPr>
                <w:rStyle w:val="Strong"/>
                <w:b w:val="0"/>
                <w:bCs w:val="0"/>
                <w:szCs w:val="22"/>
              </w:rPr>
            </w:pPr>
            <w:r w:rsidRPr="001B447F">
              <w:rPr>
                <w:rStyle w:val="Strong"/>
                <w:b w:val="0"/>
                <w:bCs w:val="0"/>
                <w:szCs w:val="22"/>
              </w:rPr>
              <w:t>Director of Graduate Studies, Program in Nutrition and Health</w:t>
            </w:r>
            <w:r>
              <w:rPr>
                <w:rStyle w:val="Strong"/>
                <w:b w:val="0"/>
                <w:bCs w:val="0"/>
                <w:szCs w:val="22"/>
              </w:rPr>
              <w:t xml:space="preserve"> </w:t>
            </w:r>
            <w:r w:rsidRPr="001B447F">
              <w:rPr>
                <w:rStyle w:val="Strong"/>
                <w:b w:val="0"/>
                <w:bCs w:val="0"/>
                <w:szCs w:val="22"/>
              </w:rPr>
              <w:t>Science, Laney Graduate School of Arts and Sciences, Emory University, Atlanta, GA</w:t>
            </w:r>
          </w:p>
        </w:tc>
      </w:tr>
      <w:tr w:rsidR="001817A4" w14:paraId="70932434" w14:textId="77777777" w:rsidTr="006711D3">
        <w:trPr>
          <w:trHeight w:val="360"/>
        </w:trPr>
        <w:tc>
          <w:tcPr>
            <w:tcW w:w="1705" w:type="dxa"/>
          </w:tcPr>
          <w:p w14:paraId="3B9DF981" w14:textId="01534848" w:rsidR="001817A4" w:rsidRDefault="001817A4" w:rsidP="001817A4">
            <w:pPr>
              <w:pStyle w:val="DataField11pt-Single"/>
              <w:rPr>
                <w:rStyle w:val="Strong"/>
                <w:szCs w:val="22"/>
              </w:rPr>
            </w:pPr>
            <w:r>
              <w:t>2008-present</w:t>
            </w:r>
          </w:p>
        </w:tc>
        <w:tc>
          <w:tcPr>
            <w:tcW w:w="8550" w:type="dxa"/>
          </w:tcPr>
          <w:p w14:paraId="36798FEC" w14:textId="730895F8" w:rsidR="001817A4" w:rsidRPr="005E4CB0" w:rsidRDefault="001817A4" w:rsidP="001817A4">
            <w:pPr>
              <w:pStyle w:val="DataField11pt-Single"/>
              <w:rPr>
                <w:rStyle w:val="Strong"/>
                <w:b w:val="0"/>
                <w:bCs w:val="0"/>
                <w:szCs w:val="22"/>
              </w:rPr>
            </w:pPr>
            <w:r w:rsidRPr="008F1195">
              <w:rPr>
                <w:rStyle w:val="Strong"/>
                <w:b w:val="0"/>
                <w:bCs w:val="0"/>
                <w:szCs w:val="22"/>
              </w:rPr>
              <w:t>Co-chair, Institutional Review Board, Emory University</w:t>
            </w:r>
            <w:r>
              <w:rPr>
                <w:rStyle w:val="Strong"/>
                <w:b w:val="0"/>
                <w:bCs w:val="0"/>
                <w:szCs w:val="22"/>
              </w:rPr>
              <w:t xml:space="preserve">, </w:t>
            </w:r>
            <w:r w:rsidRPr="008F1195">
              <w:rPr>
                <w:rStyle w:val="Strong"/>
                <w:b w:val="0"/>
                <w:bCs w:val="0"/>
                <w:szCs w:val="22"/>
              </w:rPr>
              <w:t>Atlanta, GA</w:t>
            </w:r>
          </w:p>
        </w:tc>
      </w:tr>
      <w:tr w:rsidR="001817A4" w14:paraId="6525271B" w14:textId="77777777" w:rsidTr="006711D3">
        <w:trPr>
          <w:trHeight w:val="360"/>
        </w:trPr>
        <w:tc>
          <w:tcPr>
            <w:tcW w:w="1705" w:type="dxa"/>
          </w:tcPr>
          <w:p w14:paraId="57E0C611" w14:textId="195AFF29" w:rsidR="001817A4" w:rsidRPr="00766690" w:rsidRDefault="001817A4" w:rsidP="001817A4">
            <w:pPr>
              <w:pStyle w:val="DataField11pt-Single"/>
              <w:rPr>
                <w:rStyle w:val="Strong"/>
                <w:b w:val="0"/>
                <w:bCs w:val="0"/>
                <w:szCs w:val="22"/>
              </w:rPr>
            </w:pPr>
            <w:r>
              <w:rPr>
                <w:rStyle w:val="Strong"/>
                <w:b w:val="0"/>
                <w:bCs w:val="0"/>
                <w:szCs w:val="22"/>
              </w:rPr>
              <w:t>1998</w:t>
            </w:r>
            <w:r w:rsidRPr="00766690">
              <w:rPr>
                <w:rStyle w:val="Strong"/>
                <w:b w:val="0"/>
                <w:bCs w:val="0"/>
                <w:szCs w:val="22"/>
              </w:rPr>
              <w:t>-present</w:t>
            </w:r>
          </w:p>
        </w:tc>
        <w:tc>
          <w:tcPr>
            <w:tcW w:w="8550" w:type="dxa"/>
          </w:tcPr>
          <w:p w14:paraId="651B58A9" w14:textId="77777777" w:rsidR="001817A4" w:rsidRDefault="001817A4" w:rsidP="001817A4">
            <w:pPr>
              <w:pStyle w:val="DataField11pt-Single"/>
              <w:rPr>
                <w:rStyle w:val="Strong"/>
                <w:szCs w:val="22"/>
              </w:rPr>
            </w:pPr>
            <w:r w:rsidRPr="00790FF5">
              <w:t>Affiliated faculty: Laney Graduate School of Arts and Sciences, Emory University, Atlanta GA</w:t>
            </w:r>
          </w:p>
        </w:tc>
      </w:tr>
      <w:tr w:rsidR="001817A4" w14:paraId="72763C80" w14:textId="77777777" w:rsidTr="006711D3">
        <w:trPr>
          <w:trHeight w:val="360"/>
        </w:trPr>
        <w:tc>
          <w:tcPr>
            <w:tcW w:w="1705" w:type="dxa"/>
          </w:tcPr>
          <w:p w14:paraId="6311EEDF" w14:textId="1EDFF0E1" w:rsidR="001817A4" w:rsidRPr="00790FF5" w:rsidRDefault="001817A4" w:rsidP="001817A4">
            <w:pPr>
              <w:pStyle w:val="DataField11pt-Single"/>
            </w:pPr>
            <w:r>
              <w:t>2012-present</w:t>
            </w:r>
          </w:p>
        </w:tc>
        <w:tc>
          <w:tcPr>
            <w:tcW w:w="8550" w:type="dxa"/>
          </w:tcPr>
          <w:p w14:paraId="4205C57E" w14:textId="382962A0" w:rsidR="001817A4" w:rsidRPr="00790FF5" w:rsidRDefault="001817A4" w:rsidP="001817A4">
            <w:pPr>
              <w:pStyle w:val="DataField11pt-Single"/>
            </w:pPr>
            <w:r w:rsidRPr="00766690">
              <w:t>Professor</w:t>
            </w:r>
            <w:r>
              <w:t xml:space="preserve">, </w:t>
            </w:r>
            <w:r w:rsidRPr="00766690">
              <w:t>Rollins School of Public Health, Emory University, Atlanta, GA</w:t>
            </w:r>
          </w:p>
        </w:tc>
      </w:tr>
      <w:tr w:rsidR="001817A4" w14:paraId="27E5AAD8" w14:textId="77777777" w:rsidTr="006711D3">
        <w:trPr>
          <w:trHeight w:val="360"/>
        </w:trPr>
        <w:tc>
          <w:tcPr>
            <w:tcW w:w="1705" w:type="dxa"/>
          </w:tcPr>
          <w:p w14:paraId="5D5A1D3C" w14:textId="485E3635" w:rsidR="001817A4" w:rsidRDefault="001817A4" w:rsidP="001817A4">
            <w:pPr>
              <w:pStyle w:val="DataField11pt-Single"/>
              <w:rPr>
                <w:rStyle w:val="Strong"/>
                <w:szCs w:val="22"/>
              </w:rPr>
            </w:pPr>
            <w:r w:rsidRPr="00790FF5">
              <w:t>1998</w:t>
            </w:r>
            <w:r>
              <w:t>-2012</w:t>
            </w:r>
          </w:p>
        </w:tc>
        <w:tc>
          <w:tcPr>
            <w:tcW w:w="8550" w:type="dxa"/>
          </w:tcPr>
          <w:p w14:paraId="65206C3F" w14:textId="113F8976" w:rsidR="001817A4" w:rsidRDefault="001817A4" w:rsidP="001817A4">
            <w:pPr>
              <w:pStyle w:val="DataField11pt-Single"/>
              <w:rPr>
                <w:rStyle w:val="Strong"/>
                <w:szCs w:val="22"/>
              </w:rPr>
            </w:pPr>
            <w:r w:rsidRPr="00790FF5">
              <w:t>Associate Professor</w:t>
            </w:r>
            <w:r>
              <w:t xml:space="preserve">, </w:t>
            </w:r>
            <w:r w:rsidRPr="00790FF5">
              <w:t>Rollins School of Public Health</w:t>
            </w:r>
            <w:r>
              <w:t xml:space="preserve">, </w:t>
            </w:r>
            <w:r w:rsidRPr="005E4CB0">
              <w:t>Emory University, Atlanta, GA</w:t>
            </w:r>
          </w:p>
        </w:tc>
      </w:tr>
      <w:tr w:rsidR="001817A4" w14:paraId="67E72EF7" w14:textId="77777777" w:rsidTr="006711D3">
        <w:trPr>
          <w:trHeight w:val="360"/>
        </w:trPr>
        <w:tc>
          <w:tcPr>
            <w:tcW w:w="1705" w:type="dxa"/>
          </w:tcPr>
          <w:p w14:paraId="30D7E0E9" w14:textId="546FEAD2" w:rsidR="001817A4" w:rsidRDefault="001817A4" w:rsidP="001817A4">
            <w:pPr>
              <w:pStyle w:val="DataField11pt-Single"/>
              <w:rPr>
                <w:rStyle w:val="Strong"/>
                <w:szCs w:val="22"/>
              </w:rPr>
            </w:pPr>
            <w:r w:rsidRPr="00790FF5">
              <w:t>1993</w:t>
            </w:r>
            <w:r>
              <w:t>-</w:t>
            </w:r>
            <w:r w:rsidRPr="00790FF5">
              <w:t>1998</w:t>
            </w:r>
          </w:p>
        </w:tc>
        <w:tc>
          <w:tcPr>
            <w:tcW w:w="8550" w:type="dxa"/>
          </w:tcPr>
          <w:p w14:paraId="64DC0636" w14:textId="77777777" w:rsidR="001817A4" w:rsidRDefault="001817A4" w:rsidP="001817A4">
            <w:pPr>
              <w:pStyle w:val="DataField11pt-Single"/>
              <w:rPr>
                <w:rStyle w:val="Strong"/>
                <w:szCs w:val="22"/>
              </w:rPr>
            </w:pPr>
            <w:r w:rsidRPr="00790FF5">
              <w:t>Assistant Professor. Department of Epidemiology, College of Human Medicine. Michigan State</w:t>
            </w:r>
            <w:r>
              <w:t xml:space="preserve"> </w:t>
            </w:r>
            <w:r w:rsidRPr="005E4CB0">
              <w:t>University, East Lansing, MI</w:t>
            </w:r>
          </w:p>
        </w:tc>
      </w:tr>
      <w:tr w:rsidR="001817A4" w14:paraId="22CB0B9D" w14:textId="77777777" w:rsidTr="006711D3">
        <w:trPr>
          <w:trHeight w:val="360"/>
        </w:trPr>
        <w:tc>
          <w:tcPr>
            <w:tcW w:w="1705" w:type="dxa"/>
          </w:tcPr>
          <w:p w14:paraId="6EDB35AC" w14:textId="77777777" w:rsidR="001817A4" w:rsidRDefault="001817A4" w:rsidP="001817A4">
            <w:pPr>
              <w:pStyle w:val="DataField11pt-Single"/>
              <w:rPr>
                <w:rStyle w:val="Strong"/>
                <w:szCs w:val="22"/>
              </w:rPr>
            </w:pPr>
            <w:r w:rsidRPr="00790FF5">
              <w:t>1992</w:t>
            </w:r>
          </w:p>
        </w:tc>
        <w:tc>
          <w:tcPr>
            <w:tcW w:w="8550" w:type="dxa"/>
          </w:tcPr>
          <w:p w14:paraId="6AA6F9D3" w14:textId="4731BB88" w:rsidR="001817A4" w:rsidRDefault="001817A4" w:rsidP="001817A4">
            <w:pPr>
              <w:pStyle w:val="DataField11pt-Single"/>
              <w:rPr>
                <w:rStyle w:val="Strong"/>
                <w:szCs w:val="22"/>
              </w:rPr>
            </w:pPr>
            <w:r w:rsidRPr="00790FF5">
              <w:t xml:space="preserve">Epidemiologist. Dutch Famine Birth Cohort Follow-up Study, </w:t>
            </w:r>
            <w:proofErr w:type="spellStart"/>
            <w:r w:rsidRPr="00790FF5">
              <w:t>Academisch</w:t>
            </w:r>
            <w:proofErr w:type="spellEnd"/>
            <w:r w:rsidRPr="00790FF5">
              <w:t xml:space="preserve"> </w:t>
            </w:r>
            <w:proofErr w:type="spellStart"/>
            <w:r w:rsidRPr="00790FF5">
              <w:t>Ziekenhuis</w:t>
            </w:r>
            <w:proofErr w:type="spellEnd"/>
            <w:r w:rsidRPr="00790FF5">
              <w:t xml:space="preserve"> </w:t>
            </w:r>
            <w:proofErr w:type="spellStart"/>
            <w:r w:rsidRPr="00790FF5">
              <w:t>bij</w:t>
            </w:r>
            <w:proofErr w:type="spellEnd"/>
            <w:r w:rsidRPr="00790FF5">
              <w:t xml:space="preserve"> de</w:t>
            </w:r>
            <w:r>
              <w:t xml:space="preserve"> </w:t>
            </w:r>
            <w:r w:rsidRPr="008F1195">
              <w:t xml:space="preserve">Universiteit van Amsterdam, </w:t>
            </w:r>
            <w:proofErr w:type="spellStart"/>
            <w:r w:rsidRPr="008F1195">
              <w:t>Academisch</w:t>
            </w:r>
            <w:proofErr w:type="spellEnd"/>
            <w:r w:rsidRPr="008F1195">
              <w:t xml:space="preserve"> </w:t>
            </w:r>
            <w:proofErr w:type="spellStart"/>
            <w:r w:rsidRPr="008F1195">
              <w:t>Medisch</w:t>
            </w:r>
            <w:proofErr w:type="spellEnd"/>
            <w:r w:rsidRPr="008F1195">
              <w:t xml:space="preserve"> Centrum, Amsterdam, Netherlands</w:t>
            </w:r>
          </w:p>
        </w:tc>
      </w:tr>
      <w:tr w:rsidR="001817A4" w14:paraId="03A657A5" w14:textId="77777777" w:rsidTr="006711D3">
        <w:trPr>
          <w:trHeight w:val="360"/>
        </w:trPr>
        <w:tc>
          <w:tcPr>
            <w:tcW w:w="1705" w:type="dxa"/>
          </w:tcPr>
          <w:p w14:paraId="54E016E6" w14:textId="0E4694F3" w:rsidR="001817A4" w:rsidRDefault="001817A4" w:rsidP="001817A4">
            <w:pPr>
              <w:pStyle w:val="DataField11pt-Single"/>
              <w:rPr>
                <w:rStyle w:val="Strong"/>
                <w:szCs w:val="22"/>
              </w:rPr>
            </w:pPr>
            <w:r w:rsidRPr="00790FF5">
              <w:t>1991</w:t>
            </w:r>
            <w:r>
              <w:t>-</w:t>
            </w:r>
            <w:r w:rsidRPr="00790FF5">
              <w:t>1992</w:t>
            </w:r>
          </w:p>
        </w:tc>
        <w:tc>
          <w:tcPr>
            <w:tcW w:w="8550" w:type="dxa"/>
          </w:tcPr>
          <w:p w14:paraId="33DB6B0B" w14:textId="04EDA25A" w:rsidR="001817A4" w:rsidRDefault="001817A4" w:rsidP="001817A4">
            <w:pPr>
              <w:pStyle w:val="DataField11pt-Single"/>
              <w:rPr>
                <w:rStyle w:val="Strong"/>
                <w:szCs w:val="22"/>
              </w:rPr>
            </w:pPr>
            <w:r w:rsidRPr="00790FF5">
              <w:t>Epidemiologist / Data Analyst. Behavioral Risk Factor Surveillance Section, Bureau of Health</w:t>
            </w:r>
            <w:r>
              <w:t xml:space="preserve"> </w:t>
            </w:r>
            <w:r w:rsidRPr="008F1195">
              <w:t>Statistics, Research and Evaluation Massachusetts Department of Public Health, Boston MA</w:t>
            </w:r>
          </w:p>
        </w:tc>
      </w:tr>
      <w:tr w:rsidR="001817A4" w14:paraId="58483250" w14:textId="77777777" w:rsidTr="006711D3">
        <w:trPr>
          <w:trHeight w:val="360"/>
        </w:trPr>
        <w:tc>
          <w:tcPr>
            <w:tcW w:w="1705" w:type="dxa"/>
          </w:tcPr>
          <w:p w14:paraId="1F7D15D5" w14:textId="38D012BD" w:rsidR="001817A4" w:rsidRDefault="001817A4" w:rsidP="001817A4">
            <w:pPr>
              <w:pStyle w:val="DataField11pt-Single"/>
              <w:rPr>
                <w:rStyle w:val="Strong"/>
                <w:szCs w:val="22"/>
              </w:rPr>
            </w:pPr>
            <w:r w:rsidRPr="00790FF5">
              <w:t>1987</w:t>
            </w:r>
            <w:r>
              <w:t>-</w:t>
            </w:r>
            <w:r w:rsidRPr="00790FF5">
              <w:t>1992</w:t>
            </w:r>
          </w:p>
        </w:tc>
        <w:tc>
          <w:tcPr>
            <w:tcW w:w="8550" w:type="dxa"/>
          </w:tcPr>
          <w:p w14:paraId="1CBB4B65" w14:textId="6F217B19" w:rsidR="001817A4" w:rsidRDefault="001817A4" w:rsidP="001817A4">
            <w:pPr>
              <w:pStyle w:val="DataField11pt-Single"/>
              <w:rPr>
                <w:rStyle w:val="Strong"/>
                <w:szCs w:val="22"/>
              </w:rPr>
            </w:pPr>
            <w:r w:rsidRPr="00790FF5">
              <w:t>Teaching Assistant / Graduate Research Assistant. Division of Epidemiology. Columbia</w:t>
            </w:r>
            <w:r>
              <w:t xml:space="preserve"> </w:t>
            </w:r>
            <w:r w:rsidRPr="008F1195">
              <w:t>University School of Public Health, New York</w:t>
            </w:r>
            <w:r>
              <w:t>,</w:t>
            </w:r>
            <w:r w:rsidRPr="008F1195">
              <w:t xml:space="preserve"> NY</w:t>
            </w:r>
          </w:p>
        </w:tc>
      </w:tr>
      <w:tr w:rsidR="001817A4" w14:paraId="59861C51" w14:textId="77777777" w:rsidTr="006711D3">
        <w:trPr>
          <w:trHeight w:val="360"/>
        </w:trPr>
        <w:tc>
          <w:tcPr>
            <w:tcW w:w="1705" w:type="dxa"/>
          </w:tcPr>
          <w:p w14:paraId="64BF11FC" w14:textId="5DC50ED6" w:rsidR="001817A4" w:rsidRDefault="001817A4" w:rsidP="001817A4">
            <w:pPr>
              <w:pStyle w:val="DataField11pt-Single"/>
              <w:rPr>
                <w:rStyle w:val="Strong"/>
                <w:szCs w:val="22"/>
              </w:rPr>
            </w:pPr>
            <w:r w:rsidRPr="00790FF5">
              <w:t>1984</w:t>
            </w:r>
            <w:r>
              <w:t>-</w:t>
            </w:r>
            <w:r w:rsidRPr="00790FF5">
              <w:t>1986</w:t>
            </w:r>
          </w:p>
        </w:tc>
        <w:tc>
          <w:tcPr>
            <w:tcW w:w="8550" w:type="dxa"/>
          </w:tcPr>
          <w:p w14:paraId="1121D21B" w14:textId="77777777" w:rsidR="001817A4" w:rsidRDefault="001817A4" w:rsidP="001817A4">
            <w:pPr>
              <w:pStyle w:val="DataField11pt-Single"/>
              <w:rPr>
                <w:rStyle w:val="Strong"/>
                <w:szCs w:val="22"/>
              </w:rPr>
            </w:pPr>
            <w:r w:rsidRPr="00790FF5">
              <w:t xml:space="preserve">Provincial Nutritionist. Department of Health, </w:t>
            </w:r>
            <w:proofErr w:type="spellStart"/>
            <w:r w:rsidRPr="00790FF5">
              <w:t>Simbu</w:t>
            </w:r>
            <w:proofErr w:type="spellEnd"/>
            <w:r w:rsidRPr="00790FF5">
              <w:t xml:space="preserve"> Province, Papua New Guinea.</w:t>
            </w:r>
          </w:p>
        </w:tc>
      </w:tr>
    </w:tbl>
    <w:p w14:paraId="25F84F74" w14:textId="32FE0BD9" w:rsidR="00D16E53" w:rsidRPr="002A6455" w:rsidRDefault="00D16E53" w:rsidP="00D16E53">
      <w:pPr>
        <w:pStyle w:val="DataField11pt-Single"/>
        <w:rPr>
          <w:rStyle w:val="Strong"/>
          <w:szCs w:val="22"/>
        </w:rPr>
      </w:pPr>
    </w:p>
    <w:p w14:paraId="4E6033BE" w14:textId="5719616B" w:rsidR="002C51BC" w:rsidRDefault="00BE30FD" w:rsidP="002C51BC">
      <w:pPr>
        <w:pStyle w:val="DataField11pt-Single"/>
        <w:rPr>
          <w:rStyle w:val="Strong"/>
          <w:szCs w:val="22"/>
        </w:rPr>
      </w:pPr>
      <w:r>
        <w:rPr>
          <w:rStyle w:val="Strong"/>
          <w:szCs w:val="22"/>
        </w:rPr>
        <w:t>Honors</w:t>
      </w:r>
    </w:p>
    <w:p w14:paraId="03BB1AB2" w14:textId="77777777" w:rsidR="00486FA4" w:rsidRDefault="00486FA4" w:rsidP="002C51BC">
      <w:pPr>
        <w:pStyle w:val="DataField11pt-Single"/>
        <w:rPr>
          <w:rStyle w:val="Strong"/>
          <w:szCs w:val="22"/>
        </w:rPr>
      </w:pPr>
    </w:p>
    <w:tbl>
      <w:tblPr>
        <w:tblStyle w:val="TableGrid1"/>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640"/>
      </w:tblGrid>
      <w:tr w:rsidR="00D378BF" w:rsidRPr="00BE30FD" w14:paraId="21E87FB2" w14:textId="77777777" w:rsidTr="006711D3">
        <w:trPr>
          <w:trHeight w:val="360"/>
        </w:trPr>
        <w:tc>
          <w:tcPr>
            <w:tcW w:w="1705" w:type="dxa"/>
          </w:tcPr>
          <w:p w14:paraId="39384AF9" w14:textId="2877B2A4" w:rsidR="00D378BF" w:rsidRDefault="00D378BF" w:rsidP="00B567E3">
            <w:r>
              <w:t>2022</w:t>
            </w:r>
          </w:p>
        </w:tc>
        <w:tc>
          <w:tcPr>
            <w:tcW w:w="8640" w:type="dxa"/>
          </w:tcPr>
          <w:p w14:paraId="3FA1167D" w14:textId="7D31560A" w:rsidR="00D378BF" w:rsidRDefault="00D378BF" w:rsidP="00BE30FD">
            <w:r>
              <w:t>Elected as Fellow of the American Society for Nutrition</w:t>
            </w:r>
          </w:p>
        </w:tc>
      </w:tr>
      <w:tr w:rsidR="00B567E3" w:rsidRPr="00BE30FD" w14:paraId="4309889B" w14:textId="77777777" w:rsidTr="006711D3">
        <w:trPr>
          <w:trHeight w:val="360"/>
        </w:trPr>
        <w:tc>
          <w:tcPr>
            <w:tcW w:w="1705" w:type="dxa"/>
          </w:tcPr>
          <w:p w14:paraId="36268A59" w14:textId="7848759C" w:rsidR="00B567E3" w:rsidRPr="00BE30FD" w:rsidRDefault="00B567E3" w:rsidP="00B567E3">
            <w:r>
              <w:t>2018, 2022</w:t>
            </w:r>
          </w:p>
        </w:tc>
        <w:tc>
          <w:tcPr>
            <w:tcW w:w="8640" w:type="dxa"/>
          </w:tcPr>
          <w:p w14:paraId="7F964607" w14:textId="5C1229DA" w:rsidR="00B567E3" w:rsidRPr="00BE30FD" w:rsidRDefault="00B567E3" w:rsidP="00BE30FD">
            <w:r>
              <w:t xml:space="preserve">Emory </w:t>
            </w:r>
            <w:proofErr w:type="spellStart"/>
            <w:r>
              <w:t>Millipub</w:t>
            </w:r>
            <w:proofErr w:type="spellEnd"/>
            <w:r>
              <w:t xml:space="preserve"> Club (Author of paper(s) that have been cited &gt;1000 times)</w:t>
            </w:r>
          </w:p>
        </w:tc>
      </w:tr>
      <w:tr w:rsidR="00BE30FD" w:rsidRPr="00BE30FD" w14:paraId="21C72744" w14:textId="77777777" w:rsidTr="006711D3">
        <w:trPr>
          <w:trHeight w:val="360"/>
        </w:trPr>
        <w:tc>
          <w:tcPr>
            <w:tcW w:w="1705" w:type="dxa"/>
          </w:tcPr>
          <w:p w14:paraId="576029B7" w14:textId="3F921E47" w:rsidR="00BE30FD" w:rsidRPr="00BE30FD" w:rsidRDefault="00BE30FD" w:rsidP="00BE30FD">
            <w:r w:rsidRPr="00BE30FD">
              <w:t>2016</w:t>
            </w:r>
            <w:r>
              <w:t>-present</w:t>
            </w:r>
          </w:p>
        </w:tc>
        <w:tc>
          <w:tcPr>
            <w:tcW w:w="8640" w:type="dxa"/>
          </w:tcPr>
          <w:p w14:paraId="1F2D23E7" w14:textId="77777777" w:rsidR="00BE30FD" w:rsidRPr="00BE30FD" w:rsidRDefault="00BE30FD" w:rsidP="00BE30FD">
            <w:r w:rsidRPr="00BE30FD">
              <w:t>Associate Editor: Journal of Nutrition</w:t>
            </w:r>
          </w:p>
        </w:tc>
      </w:tr>
      <w:tr w:rsidR="00BE30FD" w:rsidRPr="00BE30FD" w14:paraId="73AF612F" w14:textId="77777777" w:rsidTr="006711D3">
        <w:trPr>
          <w:trHeight w:val="360"/>
        </w:trPr>
        <w:tc>
          <w:tcPr>
            <w:tcW w:w="1705" w:type="dxa"/>
          </w:tcPr>
          <w:p w14:paraId="703A2714" w14:textId="7DEE3E81" w:rsidR="00BE30FD" w:rsidRPr="00BE30FD" w:rsidRDefault="00BE30FD" w:rsidP="00BE30FD">
            <w:r w:rsidRPr="00BE30FD">
              <w:t>2012-present</w:t>
            </w:r>
          </w:p>
        </w:tc>
        <w:tc>
          <w:tcPr>
            <w:tcW w:w="8640" w:type="dxa"/>
          </w:tcPr>
          <w:p w14:paraId="01FA2022" w14:textId="77777777" w:rsidR="00BE30FD" w:rsidRPr="00BE30FD" w:rsidRDefault="00BE30FD" w:rsidP="00BE30FD">
            <w:r w:rsidRPr="00BE30FD">
              <w:t>Honorary Senior Researcher (2012-2015) and Professor (2015 – present), Developmental Pathways to Health Research Unit, University of the Witwatersrand, Johannesburg, South Africa</w:t>
            </w:r>
          </w:p>
        </w:tc>
      </w:tr>
      <w:tr w:rsidR="00BE30FD" w:rsidRPr="00BE30FD" w14:paraId="6AED92B3" w14:textId="77777777" w:rsidTr="006711D3">
        <w:trPr>
          <w:trHeight w:val="360"/>
        </w:trPr>
        <w:tc>
          <w:tcPr>
            <w:tcW w:w="1705" w:type="dxa"/>
          </w:tcPr>
          <w:p w14:paraId="2A30480E" w14:textId="70B0D153" w:rsidR="00BE30FD" w:rsidRPr="00BE30FD" w:rsidRDefault="00BE30FD" w:rsidP="00BE30FD">
            <w:r w:rsidRPr="00BE30FD">
              <w:t>2007</w:t>
            </w:r>
            <w:r w:rsidR="00766690">
              <w:t>-present</w:t>
            </w:r>
          </w:p>
        </w:tc>
        <w:tc>
          <w:tcPr>
            <w:tcW w:w="8640" w:type="dxa"/>
          </w:tcPr>
          <w:p w14:paraId="23B4D21E" w14:textId="704ED4BC" w:rsidR="00BE30FD" w:rsidRPr="00BE30FD" w:rsidRDefault="00BE30FD" w:rsidP="00BE30FD">
            <w:r w:rsidRPr="00BE30FD">
              <w:t xml:space="preserve">Ad-hoc and chartered member, Multiple Study </w:t>
            </w:r>
            <w:r w:rsidR="008C321D">
              <w:t>S</w:t>
            </w:r>
            <w:r w:rsidRPr="00BE30FD">
              <w:t>ections, NIH</w:t>
            </w:r>
          </w:p>
        </w:tc>
      </w:tr>
    </w:tbl>
    <w:p w14:paraId="72D6FA5E" w14:textId="77777777" w:rsidR="006711D3" w:rsidRDefault="006711D3" w:rsidP="002C51BC">
      <w:pPr>
        <w:pStyle w:val="DataField11pt-Single"/>
        <w:rPr>
          <w:rStyle w:val="Strong"/>
          <w:szCs w:val="22"/>
        </w:rPr>
      </w:pPr>
    </w:p>
    <w:p w14:paraId="1B11AAA7" w14:textId="77777777" w:rsidR="00F87FB8" w:rsidRDefault="00F87FB8" w:rsidP="002C51BC">
      <w:pPr>
        <w:pStyle w:val="DataField11pt-Single"/>
        <w:rPr>
          <w:rStyle w:val="Strong"/>
          <w:szCs w:val="22"/>
        </w:rPr>
      </w:pPr>
    </w:p>
    <w:p w14:paraId="5BADD417" w14:textId="3666A696" w:rsidR="002C51BC" w:rsidRPr="002A6455" w:rsidRDefault="002C51BC" w:rsidP="002C51BC">
      <w:pPr>
        <w:pStyle w:val="DataField11pt-Single"/>
        <w:rPr>
          <w:rStyle w:val="Strong"/>
          <w:szCs w:val="22"/>
        </w:rPr>
      </w:pPr>
      <w:r w:rsidRPr="002A6455">
        <w:rPr>
          <w:rStyle w:val="Strong"/>
          <w:szCs w:val="22"/>
        </w:rPr>
        <w:t>C.</w:t>
      </w:r>
      <w:r w:rsidRPr="002A6455">
        <w:rPr>
          <w:rStyle w:val="Strong"/>
          <w:szCs w:val="22"/>
        </w:rPr>
        <w:tab/>
        <w:t>Contributions to Science</w:t>
      </w:r>
    </w:p>
    <w:p w14:paraId="394A5242" w14:textId="63150911" w:rsidR="002731CB" w:rsidRPr="002A6455" w:rsidRDefault="00486FA4" w:rsidP="002731CB">
      <w:pPr>
        <w:pStyle w:val="BodyText"/>
        <w:kinsoku w:val="0"/>
        <w:overflowPunct w:val="0"/>
        <w:spacing w:before="120"/>
        <w:ind w:left="159" w:right="158"/>
        <w:jc w:val="both"/>
        <w:rPr>
          <w:rFonts w:cs="Arial"/>
          <w:szCs w:val="22"/>
        </w:rPr>
      </w:pPr>
      <w:r>
        <w:rPr>
          <w:rFonts w:cs="Arial"/>
          <w:b/>
          <w:bCs/>
          <w:szCs w:val="22"/>
        </w:rPr>
        <w:t xml:space="preserve">1. </w:t>
      </w:r>
      <w:r w:rsidR="002731CB" w:rsidRPr="002A6455">
        <w:rPr>
          <w:rFonts w:cs="Arial"/>
          <w:b/>
          <w:bCs/>
          <w:szCs w:val="22"/>
        </w:rPr>
        <w:t>Long-term consequences of prenatal exposure to famine</w:t>
      </w:r>
      <w:r w:rsidR="002731CB" w:rsidRPr="002A6455">
        <w:rPr>
          <w:rFonts w:cs="Arial"/>
          <w:szCs w:val="22"/>
        </w:rPr>
        <w:t>: The Dutch Hunger Winger of 1944-5, a 6-month period of acute food deprivation, provides a quasi-experimental setting in which the consequences in adult life of</w:t>
      </w:r>
      <w:r w:rsidR="002731CB" w:rsidRPr="002A6455">
        <w:rPr>
          <w:rFonts w:cs="Arial"/>
          <w:spacing w:val="-5"/>
          <w:szCs w:val="22"/>
        </w:rPr>
        <w:t xml:space="preserve"> </w:t>
      </w:r>
      <w:r w:rsidR="002731CB" w:rsidRPr="002A6455">
        <w:rPr>
          <w:rFonts w:cs="Arial"/>
          <w:szCs w:val="22"/>
        </w:rPr>
        <w:t>the</w:t>
      </w:r>
      <w:r w:rsidR="002731CB" w:rsidRPr="002A6455">
        <w:rPr>
          <w:rFonts w:cs="Arial"/>
          <w:spacing w:val="-4"/>
          <w:szCs w:val="22"/>
        </w:rPr>
        <w:t xml:space="preserve"> </w:t>
      </w:r>
      <w:r w:rsidR="002731CB" w:rsidRPr="002A6455">
        <w:rPr>
          <w:rFonts w:cs="Arial"/>
          <w:szCs w:val="22"/>
        </w:rPr>
        <w:t>stresses</w:t>
      </w:r>
      <w:r w:rsidR="002731CB" w:rsidRPr="002A6455">
        <w:rPr>
          <w:rFonts w:cs="Arial"/>
          <w:spacing w:val="-4"/>
          <w:szCs w:val="22"/>
        </w:rPr>
        <w:t xml:space="preserve"> </w:t>
      </w:r>
      <w:r w:rsidR="002731CB" w:rsidRPr="002A6455">
        <w:rPr>
          <w:rFonts w:cs="Arial"/>
          <w:szCs w:val="22"/>
        </w:rPr>
        <w:t>of</w:t>
      </w:r>
      <w:r w:rsidR="002731CB" w:rsidRPr="002A6455">
        <w:rPr>
          <w:rFonts w:cs="Arial"/>
          <w:spacing w:val="-4"/>
          <w:szCs w:val="22"/>
        </w:rPr>
        <w:t xml:space="preserve"> </w:t>
      </w:r>
      <w:r w:rsidR="002731CB" w:rsidRPr="002A6455">
        <w:rPr>
          <w:rFonts w:cs="Arial"/>
          <w:szCs w:val="22"/>
        </w:rPr>
        <w:t>famine</w:t>
      </w:r>
      <w:r w:rsidR="002731CB" w:rsidRPr="002A6455">
        <w:rPr>
          <w:rFonts w:cs="Arial"/>
          <w:spacing w:val="-4"/>
          <w:szCs w:val="22"/>
        </w:rPr>
        <w:t xml:space="preserve"> </w:t>
      </w:r>
      <w:r w:rsidR="002731CB" w:rsidRPr="002A6455">
        <w:rPr>
          <w:rFonts w:cs="Arial"/>
          <w:szCs w:val="22"/>
        </w:rPr>
        <w:t>in</w:t>
      </w:r>
      <w:r w:rsidR="002731CB" w:rsidRPr="002A6455">
        <w:rPr>
          <w:rFonts w:cs="Arial"/>
          <w:spacing w:val="-5"/>
          <w:szCs w:val="22"/>
        </w:rPr>
        <w:t xml:space="preserve"> </w:t>
      </w:r>
      <w:r w:rsidR="002731CB" w:rsidRPr="002A6455">
        <w:rPr>
          <w:rFonts w:cs="Arial"/>
          <w:szCs w:val="22"/>
        </w:rPr>
        <w:t>defined</w:t>
      </w:r>
      <w:r w:rsidR="002731CB" w:rsidRPr="002A6455">
        <w:rPr>
          <w:rFonts w:cs="Arial"/>
          <w:spacing w:val="-4"/>
          <w:szCs w:val="22"/>
        </w:rPr>
        <w:t xml:space="preserve"> </w:t>
      </w:r>
      <w:r w:rsidR="002731CB" w:rsidRPr="002A6455">
        <w:rPr>
          <w:rFonts w:cs="Arial"/>
          <w:szCs w:val="22"/>
        </w:rPr>
        <w:t>periods</w:t>
      </w:r>
      <w:r w:rsidR="002731CB" w:rsidRPr="002A6455">
        <w:rPr>
          <w:rFonts w:cs="Arial"/>
          <w:spacing w:val="-3"/>
          <w:szCs w:val="22"/>
        </w:rPr>
        <w:t xml:space="preserve"> </w:t>
      </w:r>
      <w:r w:rsidR="002731CB" w:rsidRPr="002A6455">
        <w:rPr>
          <w:rFonts w:cs="Arial"/>
          <w:szCs w:val="22"/>
        </w:rPr>
        <w:t>of</w:t>
      </w:r>
      <w:r w:rsidR="002731CB" w:rsidRPr="002A6455">
        <w:rPr>
          <w:rFonts w:cs="Arial"/>
          <w:spacing w:val="-5"/>
          <w:szCs w:val="22"/>
        </w:rPr>
        <w:t xml:space="preserve"> </w:t>
      </w:r>
      <w:r w:rsidR="002731CB" w:rsidRPr="002A6455">
        <w:rPr>
          <w:rFonts w:cs="Arial"/>
          <w:szCs w:val="22"/>
        </w:rPr>
        <w:t>gestation</w:t>
      </w:r>
      <w:r w:rsidR="002731CB" w:rsidRPr="002A6455">
        <w:rPr>
          <w:rFonts w:cs="Arial"/>
          <w:spacing w:val="-4"/>
          <w:szCs w:val="22"/>
        </w:rPr>
        <w:t xml:space="preserve"> </w:t>
      </w:r>
      <w:r w:rsidR="002731CB" w:rsidRPr="002A6455">
        <w:rPr>
          <w:rFonts w:cs="Arial"/>
          <w:szCs w:val="22"/>
        </w:rPr>
        <w:t>on</w:t>
      </w:r>
      <w:r w:rsidR="002731CB" w:rsidRPr="002A6455">
        <w:rPr>
          <w:rFonts w:cs="Arial"/>
          <w:spacing w:val="-4"/>
          <w:szCs w:val="22"/>
        </w:rPr>
        <w:t xml:space="preserve"> </w:t>
      </w:r>
      <w:r w:rsidR="002731CB" w:rsidRPr="002A6455">
        <w:rPr>
          <w:rFonts w:cs="Arial"/>
          <w:szCs w:val="22"/>
        </w:rPr>
        <w:t>the</w:t>
      </w:r>
      <w:r w:rsidR="002731CB" w:rsidRPr="002A6455">
        <w:rPr>
          <w:rFonts w:cs="Arial"/>
          <w:spacing w:val="-5"/>
          <w:szCs w:val="22"/>
        </w:rPr>
        <w:t xml:space="preserve"> </w:t>
      </w:r>
      <w:r w:rsidR="002731CB" w:rsidRPr="002A6455">
        <w:rPr>
          <w:rFonts w:cs="Arial"/>
          <w:szCs w:val="22"/>
        </w:rPr>
        <w:t>developing</w:t>
      </w:r>
      <w:r w:rsidR="002731CB" w:rsidRPr="002A6455">
        <w:rPr>
          <w:rFonts w:cs="Arial"/>
          <w:spacing w:val="-4"/>
          <w:szCs w:val="22"/>
        </w:rPr>
        <w:t xml:space="preserve"> </w:t>
      </w:r>
      <w:r w:rsidR="002731CB" w:rsidRPr="002A6455">
        <w:rPr>
          <w:rFonts w:cs="Arial"/>
          <w:szCs w:val="22"/>
        </w:rPr>
        <w:t>fetus</w:t>
      </w:r>
      <w:r w:rsidR="002731CB" w:rsidRPr="002A6455">
        <w:rPr>
          <w:rFonts w:cs="Arial"/>
          <w:spacing w:val="-3"/>
          <w:szCs w:val="22"/>
        </w:rPr>
        <w:t xml:space="preserve"> </w:t>
      </w:r>
      <w:r w:rsidR="002731CB" w:rsidRPr="002A6455">
        <w:rPr>
          <w:rFonts w:cs="Arial"/>
          <w:szCs w:val="22"/>
        </w:rPr>
        <w:t>can</w:t>
      </w:r>
      <w:r w:rsidR="002731CB" w:rsidRPr="002A6455">
        <w:rPr>
          <w:rFonts w:cs="Arial"/>
          <w:spacing w:val="-6"/>
          <w:szCs w:val="22"/>
        </w:rPr>
        <w:t xml:space="preserve"> </w:t>
      </w:r>
      <w:r w:rsidR="002731CB" w:rsidRPr="002A6455">
        <w:rPr>
          <w:rFonts w:cs="Arial"/>
          <w:szCs w:val="22"/>
        </w:rPr>
        <w:t>be</w:t>
      </w:r>
      <w:r w:rsidR="002731CB" w:rsidRPr="002A6455">
        <w:rPr>
          <w:rFonts w:cs="Arial"/>
          <w:spacing w:val="-4"/>
          <w:szCs w:val="22"/>
        </w:rPr>
        <w:t xml:space="preserve"> </w:t>
      </w:r>
      <w:r w:rsidR="002731CB" w:rsidRPr="002A6455">
        <w:rPr>
          <w:rFonts w:cs="Arial"/>
          <w:szCs w:val="22"/>
        </w:rPr>
        <w:t>examined.</w:t>
      </w:r>
      <w:r w:rsidR="002731CB" w:rsidRPr="002A6455">
        <w:rPr>
          <w:rFonts w:cs="Arial"/>
          <w:spacing w:val="-5"/>
          <w:szCs w:val="22"/>
        </w:rPr>
        <w:t xml:space="preserve"> </w:t>
      </w:r>
      <w:r w:rsidR="002731CB" w:rsidRPr="002A6455">
        <w:rPr>
          <w:rFonts w:cs="Arial"/>
          <w:szCs w:val="22"/>
        </w:rPr>
        <w:t>In</w:t>
      </w:r>
      <w:r w:rsidR="002731CB" w:rsidRPr="002A6455">
        <w:rPr>
          <w:rFonts w:cs="Arial"/>
          <w:spacing w:val="-4"/>
          <w:szCs w:val="22"/>
        </w:rPr>
        <w:t xml:space="preserve"> </w:t>
      </w:r>
      <w:r w:rsidR="002731CB" w:rsidRPr="002A6455">
        <w:rPr>
          <w:rFonts w:cs="Arial"/>
          <w:szCs w:val="22"/>
        </w:rPr>
        <w:t>a</w:t>
      </w:r>
      <w:r w:rsidR="002731CB" w:rsidRPr="002A6455">
        <w:rPr>
          <w:rFonts w:cs="Arial"/>
          <w:spacing w:val="-4"/>
          <w:szCs w:val="22"/>
        </w:rPr>
        <w:t xml:space="preserve"> </w:t>
      </w:r>
      <w:r w:rsidR="002731CB" w:rsidRPr="002A6455">
        <w:rPr>
          <w:rFonts w:cs="Arial"/>
          <w:szCs w:val="22"/>
        </w:rPr>
        <w:t>series</w:t>
      </w:r>
      <w:r w:rsidR="002731CB" w:rsidRPr="002A6455">
        <w:rPr>
          <w:rFonts w:cs="Arial"/>
          <w:spacing w:val="-4"/>
          <w:szCs w:val="22"/>
        </w:rPr>
        <w:t xml:space="preserve"> </w:t>
      </w:r>
      <w:r w:rsidR="002731CB" w:rsidRPr="002A6455">
        <w:rPr>
          <w:rFonts w:cs="Arial"/>
          <w:szCs w:val="22"/>
        </w:rPr>
        <w:t xml:space="preserve">of studies led by LH Lumey of Columbia University, I have studied individuals born before, during, </w:t>
      </w:r>
      <w:r w:rsidR="002731CB" w:rsidRPr="002A6455">
        <w:rPr>
          <w:rFonts w:cs="Arial"/>
          <w:szCs w:val="22"/>
        </w:rPr>
        <w:lastRenderedPageBreak/>
        <w:t xml:space="preserve">or after the famine. I was central to the development of our innovative sibling-control design, in which an unexposed same- sex sibling is matched to a famine-exposed proband in order to provide tight control for social and genetic determinants of later health status. In </w:t>
      </w:r>
      <w:r w:rsidR="001817A4">
        <w:rPr>
          <w:rFonts w:cs="Arial"/>
          <w:szCs w:val="22"/>
        </w:rPr>
        <w:t xml:space="preserve">a series of </w:t>
      </w:r>
      <w:r w:rsidR="002731CB" w:rsidRPr="002A6455">
        <w:rPr>
          <w:rFonts w:cs="Arial"/>
          <w:szCs w:val="22"/>
        </w:rPr>
        <w:t>over 25 papers since 1994, we examined the long-term consequences of famine exposure in specific periods of gestation on well-being, morbidity, and</w:t>
      </w:r>
      <w:r w:rsidR="002731CB" w:rsidRPr="002A6455">
        <w:rPr>
          <w:rFonts w:cs="Arial"/>
          <w:spacing w:val="-8"/>
          <w:szCs w:val="22"/>
        </w:rPr>
        <w:t xml:space="preserve"> </w:t>
      </w:r>
      <w:r w:rsidR="002731CB" w:rsidRPr="002A6455">
        <w:rPr>
          <w:rFonts w:cs="Arial"/>
          <w:szCs w:val="22"/>
        </w:rPr>
        <w:t>mortality.</w:t>
      </w:r>
    </w:p>
    <w:p w14:paraId="3CE1E780" w14:textId="195017AC" w:rsidR="004B5327" w:rsidRDefault="004B5327" w:rsidP="00865B25">
      <w:pPr>
        <w:pStyle w:val="ListParagraph"/>
        <w:tabs>
          <w:tab w:val="left" w:pos="708"/>
        </w:tabs>
        <w:kinsoku w:val="0"/>
        <w:overflowPunct w:val="0"/>
        <w:spacing w:after="120"/>
        <w:ind w:left="707" w:right="225" w:firstLine="0"/>
        <w:rPr>
          <w:sz w:val="22"/>
          <w:szCs w:val="22"/>
        </w:rPr>
      </w:pPr>
      <w:r w:rsidRPr="004B5327">
        <w:rPr>
          <w:b/>
          <w:bCs/>
          <w:sz w:val="22"/>
          <w:szCs w:val="22"/>
        </w:rPr>
        <w:t>Stein AD,</w:t>
      </w:r>
      <w:r w:rsidRPr="004B5327">
        <w:rPr>
          <w:sz w:val="22"/>
          <w:szCs w:val="22"/>
        </w:rPr>
        <w:t xml:space="preserve"> Kahn HS, Rundle A, </w:t>
      </w:r>
      <w:proofErr w:type="spellStart"/>
      <w:r w:rsidRPr="004B5327">
        <w:rPr>
          <w:sz w:val="22"/>
          <w:szCs w:val="22"/>
        </w:rPr>
        <w:t>Zybert</w:t>
      </w:r>
      <w:proofErr w:type="spellEnd"/>
      <w:r w:rsidRPr="004B5327">
        <w:rPr>
          <w:sz w:val="22"/>
          <w:szCs w:val="22"/>
        </w:rPr>
        <w:t xml:space="preserve"> PA, van der Pal-de Bruin K, Lumey LH. Anthropometric measures in middle age after exposure to famine during gestation: evidence from the Dutch famine. </w:t>
      </w:r>
      <w:r w:rsidRPr="004B5327">
        <w:rPr>
          <w:i/>
          <w:iCs/>
          <w:sz w:val="22"/>
          <w:szCs w:val="22"/>
        </w:rPr>
        <w:t xml:space="preserve">Am J Clin </w:t>
      </w:r>
      <w:proofErr w:type="spellStart"/>
      <w:r w:rsidRPr="004B5327">
        <w:rPr>
          <w:i/>
          <w:iCs/>
          <w:sz w:val="22"/>
          <w:szCs w:val="22"/>
        </w:rPr>
        <w:t>Nutr</w:t>
      </w:r>
      <w:proofErr w:type="spellEnd"/>
      <w:r w:rsidRPr="004B5327">
        <w:rPr>
          <w:i/>
          <w:iCs/>
          <w:sz w:val="22"/>
          <w:szCs w:val="22"/>
        </w:rPr>
        <w:t>.</w:t>
      </w:r>
      <w:r w:rsidRPr="004B5327">
        <w:rPr>
          <w:sz w:val="22"/>
          <w:szCs w:val="22"/>
        </w:rPr>
        <w:t xml:space="preserve"> 2007 Mar;85(3):869-76.</w:t>
      </w:r>
    </w:p>
    <w:p w14:paraId="5B52A3BC" w14:textId="0B8F1F5B" w:rsidR="002731CB" w:rsidRPr="002A6455" w:rsidRDefault="004B5327" w:rsidP="00865B25">
      <w:pPr>
        <w:pStyle w:val="ListParagraph"/>
        <w:tabs>
          <w:tab w:val="left" w:pos="708"/>
        </w:tabs>
        <w:kinsoku w:val="0"/>
        <w:overflowPunct w:val="0"/>
        <w:spacing w:after="120"/>
        <w:ind w:left="707" w:right="225" w:firstLine="0"/>
        <w:rPr>
          <w:sz w:val="22"/>
          <w:szCs w:val="22"/>
        </w:rPr>
      </w:pPr>
      <w:proofErr w:type="spellStart"/>
      <w:r w:rsidRPr="004B5327">
        <w:rPr>
          <w:sz w:val="22"/>
          <w:szCs w:val="22"/>
        </w:rPr>
        <w:t>Heijmans</w:t>
      </w:r>
      <w:proofErr w:type="spellEnd"/>
      <w:r w:rsidRPr="004B5327">
        <w:rPr>
          <w:sz w:val="22"/>
          <w:szCs w:val="22"/>
        </w:rPr>
        <w:t xml:space="preserve"> BT, Tobi EW, </w:t>
      </w:r>
      <w:r w:rsidRPr="004B5327">
        <w:rPr>
          <w:b/>
          <w:bCs/>
          <w:sz w:val="22"/>
          <w:szCs w:val="22"/>
        </w:rPr>
        <w:t>Stein AD,</w:t>
      </w:r>
      <w:r w:rsidRPr="004B5327">
        <w:rPr>
          <w:sz w:val="22"/>
          <w:szCs w:val="22"/>
        </w:rPr>
        <w:t xml:space="preserve"> Putter H, </w:t>
      </w:r>
      <w:proofErr w:type="spellStart"/>
      <w:r w:rsidRPr="004B5327">
        <w:rPr>
          <w:sz w:val="22"/>
          <w:szCs w:val="22"/>
        </w:rPr>
        <w:t>Blauw</w:t>
      </w:r>
      <w:proofErr w:type="spellEnd"/>
      <w:r w:rsidRPr="004B5327">
        <w:rPr>
          <w:sz w:val="22"/>
          <w:szCs w:val="22"/>
        </w:rPr>
        <w:t xml:space="preserve"> GJ, Susser ES, </w:t>
      </w:r>
      <w:proofErr w:type="spellStart"/>
      <w:r w:rsidRPr="004B5327">
        <w:rPr>
          <w:sz w:val="22"/>
          <w:szCs w:val="22"/>
        </w:rPr>
        <w:t>Slagboom</w:t>
      </w:r>
      <w:proofErr w:type="spellEnd"/>
      <w:r w:rsidRPr="004B5327">
        <w:rPr>
          <w:sz w:val="22"/>
          <w:szCs w:val="22"/>
        </w:rPr>
        <w:t xml:space="preserve"> PE, Lumey LH. Persistent epigenetic differences associated with prenatal exposure to famine in humans. </w:t>
      </w:r>
      <w:r w:rsidRPr="004B5327">
        <w:rPr>
          <w:i/>
          <w:iCs/>
          <w:sz w:val="22"/>
          <w:szCs w:val="22"/>
        </w:rPr>
        <w:t xml:space="preserve">Proc Natl </w:t>
      </w:r>
      <w:proofErr w:type="spellStart"/>
      <w:r w:rsidRPr="004B5327">
        <w:rPr>
          <w:i/>
          <w:iCs/>
          <w:sz w:val="22"/>
          <w:szCs w:val="22"/>
        </w:rPr>
        <w:t>Acad</w:t>
      </w:r>
      <w:proofErr w:type="spellEnd"/>
      <w:r w:rsidRPr="004B5327">
        <w:rPr>
          <w:i/>
          <w:iCs/>
          <w:sz w:val="22"/>
          <w:szCs w:val="22"/>
        </w:rPr>
        <w:t xml:space="preserve"> Sci U S A.</w:t>
      </w:r>
      <w:r w:rsidRPr="004B5327">
        <w:rPr>
          <w:sz w:val="22"/>
          <w:szCs w:val="22"/>
        </w:rPr>
        <w:t xml:space="preserve"> 2008 Nov 4;105(44):17046-9. PMCID: PMC2579375</w:t>
      </w:r>
    </w:p>
    <w:p w14:paraId="0C603BF1" w14:textId="40ABC3F7" w:rsidR="002731CB" w:rsidRPr="002A6455" w:rsidRDefault="004B5327" w:rsidP="00865B25">
      <w:pPr>
        <w:pStyle w:val="ListParagraph"/>
        <w:tabs>
          <w:tab w:val="left" w:pos="700"/>
        </w:tabs>
        <w:kinsoku w:val="0"/>
        <w:overflowPunct w:val="0"/>
        <w:spacing w:after="120"/>
        <w:ind w:left="700" w:right="273" w:firstLine="0"/>
        <w:rPr>
          <w:sz w:val="22"/>
          <w:szCs w:val="22"/>
        </w:rPr>
      </w:pPr>
      <w:r w:rsidRPr="004B5327">
        <w:rPr>
          <w:sz w:val="22"/>
          <w:szCs w:val="22"/>
        </w:rPr>
        <w:t xml:space="preserve">Tobi EW, </w:t>
      </w:r>
      <w:proofErr w:type="spellStart"/>
      <w:r w:rsidRPr="004B5327">
        <w:rPr>
          <w:sz w:val="22"/>
          <w:szCs w:val="22"/>
        </w:rPr>
        <w:t>Slieker</w:t>
      </w:r>
      <w:proofErr w:type="spellEnd"/>
      <w:r w:rsidRPr="004B5327">
        <w:rPr>
          <w:sz w:val="22"/>
          <w:szCs w:val="22"/>
        </w:rPr>
        <w:t xml:space="preserve"> RC, </w:t>
      </w:r>
      <w:r w:rsidRPr="004B5327">
        <w:rPr>
          <w:b/>
          <w:bCs/>
          <w:sz w:val="22"/>
          <w:szCs w:val="22"/>
        </w:rPr>
        <w:t>Stein AD</w:t>
      </w:r>
      <w:r w:rsidRPr="004B5327">
        <w:rPr>
          <w:sz w:val="22"/>
          <w:szCs w:val="22"/>
        </w:rPr>
        <w:t xml:space="preserve">, </w:t>
      </w:r>
      <w:proofErr w:type="spellStart"/>
      <w:r w:rsidRPr="004B5327">
        <w:rPr>
          <w:sz w:val="22"/>
          <w:szCs w:val="22"/>
        </w:rPr>
        <w:t>Suchiman</w:t>
      </w:r>
      <w:proofErr w:type="spellEnd"/>
      <w:r w:rsidRPr="004B5327">
        <w:rPr>
          <w:sz w:val="22"/>
          <w:szCs w:val="22"/>
        </w:rPr>
        <w:t xml:space="preserve"> HE, </w:t>
      </w:r>
      <w:proofErr w:type="spellStart"/>
      <w:r w:rsidRPr="004B5327">
        <w:rPr>
          <w:sz w:val="22"/>
          <w:szCs w:val="22"/>
        </w:rPr>
        <w:t>Slagboom</w:t>
      </w:r>
      <w:proofErr w:type="spellEnd"/>
      <w:r w:rsidRPr="004B5327">
        <w:rPr>
          <w:sz w:val="22"/>
          <w:szCs w:val="22"/>
        </w:rPr>
        <w:t xml:space="preserve"> PE, van </w:t>
      </w:r>
      <w:proofErr w:type="spellStart"/>
      <w:r w:rsidRPr="004B5327">
        <w:rPr>
          <w:sz w:val="22"/>
          <w:szCs w:val="22"/>
        </w:rPr>
        <w:t>Zwet</w:t>
      </w:r>
      <w:proofErr w:type="spellEnd"/>
      <w:r w:rsidRPr="004B5327">
        <w:rPr>
          <w:sz w:val="22"/>
          <w:szCs w:val="22"/>
        </w:rPr>
        <w:t xml:space="preserve"> EW, </w:t>
      </w:r>
      <w:proofErr w:type="spellStart"/>
      <w:r w:rsidRPr="004B5327">
        <w:rPr>
          <w:sz w:val="22"/>
          <w:szCs w:val="22"/>
        </w:rPr>
        <w:t>Heijmans</w:t>
      </w:r>
      <w:proofErr w:type="spellEnd"/>
      <w:r w:rsidRPr="004B5327">
        <w:rPr>
          <w:sz w:val="22"/>
          <w:szCs w:val="22"/>
        </w:rPr>
        <w:t xml:space="preserve"> BT, Lumey LH. Early gestation as the critical time-window for changes in the prenatal environment to affect the adult human blood methylome. </w:t>
      </w:r>
      <w:r w:rsidRPr="00921395">
        <w:rPr>
          <w:i/>
          <w:iCs/>
          <w:sz w:val="22"/>
          <w:szCs w:val="22"/>
        </w:rPr>
        <w:t>Int J Epidemiol</w:t>
      </w:r>
      <w:r w:rsidRPr="004B5327">
        <w:rPr>
          <w:sz w:val="22"/>
          <w:szCs w:val="22"/>
        </w:rPr>
        <w:t>. 2015 Aug;44(4):1211-23.</w:t>
      </w:r>
      <w:r>
        <w:rPr>
          <w:sz w:val="22"/>
          <w:szCs w:val="22"/>
        </w:rPr>
        <w:t xml:space="preserve"> </w:t>
      </w:r>
      <w:r w:rsidRPr="004B5327">
        <w:rPr>
          <w:sz w:val="22"/>
          <w:szCs w:val="22"/>
        </w:rPr>
        <w:t>PMCID: PMC4588866</w:t>
      </w:r>
    </w:p>
    <w:p w14:paraId="62E83B74" w14:textId="63EBA121" w:rsidR="002731CB" w:rsidRPr="002A6455" w:rsidRDefault="004B5327" w:rsidP="00865B25">
      <w:pPr>
        <w:pStyle w:val="ListParagraph"/>
        <w:tabs>
          <w:tab w:val="left" w:pos="708"/>
        </w:tabs>
        <w:kinsoku w:val="0"/>
        <w:overflowPunct w:val="0"/>
        <w:spacing w:after="120"/>
        <w:ind w:left="707" w:right="801" w:firstLine="0"/>
        <w:rPr>
          <w:sz w:val="22"/>
          <w:szCs w:val="22"/>
        </w:rPr>
      </w:pPr>
      <w:proofErr w:type="spellStart"/>
      <w:r w:rsidRPr="004B5327">
        <w:rPr>
          <w:sz w:val="22"/>
          <w:szCs w:val="22"/>
        </w:rPr>
        <w:t>Ekamper</w:t>
      </w:r>
      <w:proofErr w:type="spellEnd"/>
      <w:r w:rsidRPr="004B5327">
        <w:rPr>
          <w:sz w:val="22"/>
          <w:szCs w:val="22"/>
        </w:rPr>
        <w:t xml:space="preserve"> P, van </w:t>
      </w:r>
      <w:proofErr w:type="spellStart"/>
      <w:r w:rsidRPr="004B5327">
        <w:rPr>
          <w:sz w:val="22"/>
          <w:szCs w:val="22"/>
        </w:rPr>
        <w:t>Poppel</w:t>
      </w:r>
      <w:proofErr w:type="spellEnd"/>
      <w:r w:rsidRPr="004B5327">
        <w:rPr>
          <w:sz w:val="22"/>
          <w:szCs w:val="22"/>
        </w:rPr>
        <w:t xml:space="preserve"> F, </w:t>
      </w:r>
      <w:r w:rsidRPr="00C17764">
        <w:rPr>
          <w:b/>
          <w:bCs/>
          <w:sz w:val="22"/>
          <w:szCs w:val="22"/>
        </w:rPr>
        <w:t>Stein AD</w:t>
      </w:r>
      <w:r w:rsidRPr="004B5327">
        <w:rPr>
          <w:sz w:val="22"/>
          <w:szCs w:val="22"/>
        </w:rPr>
        <w:t xml:space="preserve">, </w:t>
      </w:r>
      <w:proofErr w:type="spellStart"/>
      <w:r w:rsidRPr="004B5327">
        <w:rPr>
          <w:sz w:val="22"/>
          <w:szCs w:val="22"/>
        </w:rPr>
        <w:t>Bijwaard</w:t>
      </w:r>
      <w:proofErr w:type="spellEnd"/>
      <w:r w:rsidRPr="004B5327">
        <w:rPr>
          <w:sz w:val="22"/>
          <w:szCs w:val="22"/>
        </w:rPr>
        <w:t xml:space="preserve"> GE, Lumey LH. Prenatal famine exposure and adult mortality from cancer, cardiovascular disease, and other causes through age 63 years. Am </w:t>
      </w:r>
      <w:r w:rsidRPr="00C17764">
        <w:rPr>
          <w:i/>
          <w:iCs/>
          <w:sz w:val="22"/>
          <w:szCs w:val="22"/>
        </w:rPr>
        <w:t>J Epidemiol.</w:t>
      </w:r>
      <w:r w:rsidRPr="004B5327">
        <w:rPr>
          <w:sz w:val="22"/>
          <w:szCs w:val="22"/>
        </w:rPr>
        <w:t xml:space="preserve"> 2015 Feb 15;181(4):271-9</w:t>
      </w:r>
      <w:r w:rsidR="00C17764">
        <w:rPr>
          <w:sz w:val="22"/>
          <w:szCs w:val="22"/>
        </w:rPr>
        <w:t xml:space="preserve">. </w:t>
      </w:r>
      <w:r w:rsidRPr="004B5327">
        <w:rPr>
          <w:sz w:val="22"/>
          <w:szCs w:val="22"/>
        </w:rPr>
        <w:t>PMCID: PMC4325678</w:t>
      </w:r>
      <w:r w:rsidR="00C17764" w:rsidRPr="002A6455">
        <w:rPr>
          <w:sz w:val="22"/>
          <w:szCs w:val="22"/>
        </w:rPr>
        <w:t xml:space="preserve"> </w:t>
      </w:r>
    </w:p>
    <w:p w14:paraId="023DC61C" w14:textId="77777777" w:rsidR="002731CB" w:rsidRPr="002A6455" w:rsidRDefault="002731CB" w:rsidP="002731CB">
      <w:pPr>
        <w:pStyle w:val="BodyText"/>
        <w:kinsoku w:val="0"/>
        <w:overflowPunct w:val="0"/>
        <w:spacing w:before="10"/>
        <w:rPr>
          <w:rFonts w:cs="Arial"/>
          <w:szCs w:val="22"/>
        </w:rPr>
      </w:pPr>
    </w:p>
    <w:p w14:paraId="16E5C20B" w14:textId="4BFB91D5" w:rsidR="002731CB" w:rsidRPr="002A6455" w:rsidRDefault="00486FA4" w:rsidP="002731CB">
      <w:pPr>
        <w:pStyle w:val="BodyText"/>
        <w:kinsoku w:val="0"/>
        <w:overflowPunct w:val="0"/>
        <w:spacing w:before="93"/>
        <w:ind w:left="159" w:right="157"/>
        <w:jc w:val="both"/>
        <w:rPr>
          <w:rFonts w:cs="Arial"/>
          <w:szCs w:val="22"/>
        </w:rPr>
      </w:pPr>
      <w:r>
        <w:rPr>
          <w:rFonts w:cs="Arial"/>
          <w:b/>
          <w:bCs/>
          <w:szCs w:val="22"/>
        </w:rPr>
        <w:t xml:space="preserve">2. </w:t>
      </w:r>
      <w:r w:rsidR="002731CB" w:rsidRPr="002A6455">
        <w:rPr>
          <w:rFonts w:cs="Arial"/>
          <w:b/>
          <w:bCs/>
          <w:szCs w:val="22"/>
        </w:rPr>
        <w:t>Long-term consequences of maternal and infant nutrition supplementation for human capital</w:t>
      </w:r>
      <w:r w:rsidR="002731CB" w:rsidRPr="002A6455">
        <w:rPr>
          <w:rFonts w:cs="Arial"/>
          <w:szCs w:val="22"/>
        </w:rPr>
        <w:t>: Famine exposure in industrial settings is rare, and the scenario of chronic undernutrition in low-income settings is much more common. With Reynaldo Martorell and many others, I have been investigating the long-term effects of exposure to a nutritional supplementation program implemented at the village level in Guatemala in the 1960’s. This study, the longest-running follow-up of a nutritional supplementation trial, has resulted in well over 200 published</w:t>
      </w:r>
      <w:r w:rsidR="002731CB" w:rsidRPr="002A6455">
        <w:rPr>
          <w:rFonts w:cs="Arial"/>
          <w:spacing w:val="-6"/>
          <w:szCs w:val="22"/>
        </w:rPr>
        <w:t xml:space="preserve"> </w:t>
      </w:r>
      <w:r w:rsidR="002731CB" w:rsidRPr="002A6455">
        <w:rPr>
          <w:rFonts w:cs="Arial"/>
          <w:szCs w:val="22"/>
        </w:rPr>
        <w:t>papers,</w:t>
      </w:r>
      <w:r w:rsidR="002731CB" w:rsidRPr="002A6455">
        <w:rPr>
          <w:rFonts w:cs="Arial"/>
          <w:spacing w:val="-5"/>
          <w:szCs w:val="22"/>
        </w:rPr>
        <w:t xml:space="preserve"> </w:t>
      </w:r>
      <w:r w:rsidR="002731CB" w:rsidRPr="002A6455">
        <w:rPr>
          <w:rFonts w:cs="Arial"/>
          <w:szCs w:val="22"/>
        </w:rPr>
        <w:t>many</w:t>
      </w:r>
      <w:r w:rsidR="002731CB" w:rsidRPr="002A6455">
        <w:rPr>
          <w:rFonts w:cs="Arial"/>
          <w:spacing w:val="-5"/>
          <w:szCs w:val="22"/>
        </w:rPr>
        <w:t xml:space="preserve"> </w:t>
      </w:r>
      <w:r w:rsidR="002731CB" w:rsidRPr="002A6455">
        <w:rPr>
          <w:rFonts w:cs="Arial"/>
          <w:szCs w:val="22"/>
        </w:rPr>
        <w:t>of</w:t>
      </w:r>
      <w:r w:rsidR="002731CB" w:rsidRPr="002A6455">
        <w:rPr>
          <w:rFonts w:cs="Arial"/>
          <w:spacing w:val="-5"/>
          <w:szCs w:val="22"/>
        </w:rPr>
        <w:t xml:space="preserve"> </w:t>
      </w:r>
      <w:r w:rsidR="002731CB" w:rsidRPr="002A6455">
        <w:rPr>
          <w:rFonts w:cs="Arial"/>
          <w:szCs w:val="22"/>
        </w:rPr>
        <w:t>which</w:t>
      </w:r>
      <w:r w:rsidR="002731CB" w:rsidRPr="002A6455">
        <w:rPr>
          <w:rFonts w:cs="Arial"/>
          <w:spacing w:val="-6"/>
          <w:szCs w:val="22"/>
        </w:rPr>
        <w:t xml:space="preserve"> </w:t>
      </w:r>
      <w:r w:rsidR="002731CB" w:rsidRPr="002A6455">
        <w:rPr>
          <w:rFonts w:cs="Arial"/>
          <w:szCs w:val="22"/>
        </w:rPr>
        <w:t>have</w:t>
      </w:r>
      <w:r w:rsidR="002731CB" w:rsidRPr="002A6455">
        <w:rPr>
          <w:rFonts w:cs="Arial"/>
          <w:spacing w:val="-5"/>
          <w:szCs w:val="22"/>
        </w:rPr>
        <w:t xml:space="preserve"> </w:t>
      </w:r>
      <w:r w:rsidR="002731CB" w:rsidRPr="002A6455">
        <w:rPr>
          <w:rFonts w:cs="Arial"/>
          <w:szCs w:val="22"/>
        </w:rPr>
        <w:t>been</w:t>
      </w:r>
      <w:r w:rsidR="002731CB" w:rsidRPr="002A6455">
        <w:rPr>
          <w:rFonts w:cs="Arial"/>
          <w:spacing w:val="-4"/>
          <w:szCs w:val="22"/>
        </w:rPr>
        <w:t xml:space="preserve"> </w:t>
      </w:r>
      <w:r w:rsidR="002731CB" w:rsidRPr="002A6455">
        <w:rPr>
          <w:rFonts w:cs="Arial"/>
          <w:szCs w:val="22"/>
        </w:rPr>
        <w:t>influential</w:t>
      </w:r>
      <w:r w:rsidR="002731CB" w:rsidRPr="002A6455">
        <w:rPr>
          <w:rFonts w:cs="Arial"/>
          <w:spacing w:val="-4"/>
          <w:szCs w:val="22"/>
        </w:rPr>
        <w:t xml:space="preserve"> </w:t>
      </w:r>
      <w:r w:rsidR="002731CB" w:rsidRPr="002A6455">
        <w:rPr>
          <w:rFonts w:cs="Arial"/>
          <w:szCs w:val="22"/>
        </w:rPr>
        <w:t>in</w:t>
      </w:r>
      <w:r w:rsidR="002731CB" w:rsidRPr="002A6455">
        <w:rPr>
          <w:rFonts w:cs="Arial"/>
          <w:spacing w:val="-5"/>
          <w:szCs w:val="22"/>
        </w:rPr>
        <w:t xml:space="preserve"> </w:t>
      </w:r>
      <w:r w:rsidR="002731CB" w:rsidRPr="002A6455">
        <w:rPr>
          <w:rFonts w:cs="Arial"/>
          <w:szCs w:val="22"/>
        </w:rPr>
        <w:t>the</w:t>
      </w:r>
      <w:r w:rsidR="002731CB" w:rsidRPr="002A6455">
        <w:rPr>
          <w:rFonts w:cs="Arial"/>
          <w:spacing w:val="-5"/>
          <w:szCs w:val="22"/>
        </w:rPr>
        <w:t xml:space="preserve"> </w:t>
      </w:r>
      <w:r w:rsidR="002731CB" w:rsidRPr="002A6455">
        <w:rPr>
          <w:rFonts w:cs="Arial"/>
          <w:szCs w:val="22"/>
        </w:rPr>
        <w:t>development</w:t>
      </w:r>
      <w:r w:rsidR="002731CB" w:rsidRPr="002A6455">
        <w:rPr>
          <w:rFonts w:cs="Arial"/>
          <w:spacing w:val="-5"/>
          <w:szCs w:val="22"/>
        </w:rPr>
        <w:t xml:space="preserve"> </w:t>
      </w:r>
      <w:r w:rsidR="002731CB" w:rsidRPr="002A6455">
        <w:rPr>
          <w:rFonts w:cs="Arial"/>
          <w:szCs w:val="22"/>
        </w:rPr>
        <w:t>of</w:t>
      </w:r>
      <w:r w:rsidR="002731CB" w:rsidRPr="002A6455">
        <w:rPr>
          <w:rFonts w:cs="Arial"/>
          <w:spacing w:val="-5"/>
          <w:szCs w:val="22"/>
        </w:rPr>
        <w:t xml:space="preserve"> </w:t>
      </w:r>
      <w:r w:rsidR="002731CB" w:rsidRPr="002A6455">
        <w:rPr>
          <w:rFonts w:cs="Arial"/>
          <w:szCs w:val="22"/>
        </w:rPr>
        <w:t>the</w:t>
      </w:r>
      <w:r w:rsidR="002731CB" w:rsidRPr="002A6455">
        <w:rPr>
          <w:rFonts w:cs="Arial"/>
          <w:spacing w:val="-6"/>
          <w:szCs w:val="22"/>
        </w:rPr>
        <w:t xml:space="preserve"> </w:t>
      </w:r>
      <w:r w:rsidR="002731CB" w:rsidRPr="002A6455">
        <w:rPr>
          <w:rFonts w:cs="Arial"/>
          <w:szCs w:val="22"/>
        </w:rPr>
        <w:t>‘first</w:t>
      </w:r>
      <w:r w:rsidR="002731CB" w:rsidRPr="002A6455">
        <w:rPr>
          <w:rFonts w:cs="Arial"/>
          <w:spacing w:val="-4"/>
          <w:szCs w:val="22"/>
        </w:rPr>
        <w:t xml:space="preserve"> </w:t>
      </w:r>
      <w:r w:rsidR="002731CB" w:rsidRPr="002A6455">
        <w:rPr>
          <w:rFonts w:cs="Arial"/>
          <w:szCs w:val="22"/>
        </w:rPr>
        <w:t>1000</w:t>
      </w:r>
      <w:r w:rsidR="002731CB" w:rsidRPr="002A6455">
        <w:rPr>
          <w:rFonts w:cs="Arial"/>
          <w:spacing w:val="-5"/>
          <w:szCs w:val="22"/>
        </w:rPr>
        <w:t xml:space="preserve"> </w:t>
      </w:r>
      <w:r w:rsidR="002731CB" w:rsidRPr="002A6455">
        <w:rPr>
          <w:rFonts w:cs="Arial"/>
          <w:szCs w:val="22"/>
        </w:rPr>
        <w:t>days’</w:t>
      </w:r>
      <w:r w:rsidR="002731CB" w:rsidRPr="002A6455">
        <w:rPr>
          <w:rFonts w:cs="Arial"/>
          <w:spacing w:val="-4"/>
          <w:szCs w:val="22"/>
        </w:rPr>
        <w:t xml:space="preserve"> </w:t>
      </w:r>
      <w:r w:rsidR="002731CB" w:rsidRPr="002A6455">
        <w:rPr>
          <w:rFonts w:cs="Arial"/>
          <w:szCs w:val="22"/>
        </w:rPr>
        <w:t>paradigm</w:t>
      </w:r>
      <w:r w:rsidR="002731CB" w:rsidRPr="002A6455">
        <w:rPr>
          <w:rFonts w:cs="Arial"/>
          <w:spacing w:val="-7"/>
          <w:szCs w:val="22"/>
        </w:rPr>
        <w:t xml:space="preserve"> </w:t>
      </w:r>
      <w:r w:rsidR="002731CB" w:rsidRPr="002A6455">
        <w:rPr>
          <w:rFonts w:cs="Arial"/>
          <w:szCs w:val="22"/>
        </w:rPr>
        <w:t xml:space="preserve">now underpinning much aid and development work. </w:t>
      </w:r>
      <w:r w:rsidR="001817A4">
        <w:rPr>
          <w:rFonts w:cs="Arial"/>
          <w:szCs w:val="22"/>
        </w:rPr>
        <w:t xml:space="preserve">I </w:t>
      </w:r>
      <w:r w:rsidR="001817A4" w:rsidRPr="002A6455">
        <w:rPr>
          <w:rFonts w:cs="Arial"/>
          <w:szCs w:val="22"/>
        </w:rPr>
        <w:t>am leading our current work on the long-term consequences for cardiometabolic</w:t>
      </w:r>
      <w:r w:rsidR="001817A4" w:rsidRPr="002A6455">
        <w:rPr>
          <w:rFonts w:cs="Arial"/>
          <w:spacing w:val="-1"/>
          <w:szCs w:val="22"/>
        </w:rPr>
        <w:t xml:space="preserve"> </w:t>
      </w:r>
      <w:r w:rsidR="001817A4" w:rsidRPr="002A6455">
        <w:rPr>
          <w:rFonts w:cs="Arial"/>
          <w:szCs w:val="22"/>
        </w:rPr>
        <w:t>risk</w:t>
      </w:r>
      <w:r w:rsidR="001817A4">
        <w:rPr>
          <w:rFonts w:cs="Arial"/>
          <w:szCs w:val="22"/>
        </w:rPr>
        <w:t>, and was the Principal Investigator on the two most recent grants, from NICHD and the Bill and Melinda Gates Foundation</w:t>
      </w:r>
      <w:r w:rsidR="001817A4" w:rsidRPr="002A6455">
        <w:rPr>
          <w:rFonts w:cs="Arial"/>
          <w:szCs w:val="22"/>
        </w:rPr>
        <w:t>.</w:t>
      </w:r>
      <w:r w:rsidR="001817A4">
        <w:rPr>
          <w:rFonts w:cs="Arial"/>
          <w:szCs w:val="22"/>
        </w:rPr>
        <w:t xml:space="preserve"> </w:t>
      </w:r>
      <w:r w:rsidR="002731CB" w:rsidRPr="002A6455">
        <w:rPr>
          <w:rFonts w:cs="Arial"/>
          <w:szCs w:val="22"/>
        </w:rPr>
        <w:t xml:space="preserve">I was instrumental in developing the basic analytic framework used in our recent work, in which exposure to intervention for the ‘first 1000 days’ (conception to age 24 </w:t>
      </w:r>
      <w:proofErr w:type="spellStart"/>
      <w:r w:rsidR="002731CB" w:rsidRPr="002A6455">
        <w:rPr>
          <w:rFonts w:cs="Arial"/>
          <w:szCs w:val="22"/>
        </w:rPr>
        <w:t>mo</w:t>
      </w:r>
      <w:proofErr w:type="spellEnd"/>
      <w:r w:rsidR="002731CB" w:rsidRPr="002A6455">
        <w:rPr>
          <w:rFonts w:cs="Arial"/>
          <w:szCs w:val="22"/>
        </w:rPr>
        <w:t xml:space="preserve">) is distinguished from exposure to the placebo or to the intervention at other ages by use of an adaptation of the double-difference methodology. Among over </w:t>
      </w:r>
      <w:r w:rsidR="00B567E3">
        <w:rPr>
          <w:rFonts w:cs="Arial"/>
          <w:szCs w:val="22"/>
        </w:rPr>
        <w:t>50</w:t>
      </w:r>
      <w:r w:rsidR="002731CB" w:rsidRPr="002A6455">
        <w:rPr>
          <w:rFonts w:cs="Arial"/>
          <w:szCs w:val="22"/>
        </w:rPr>
        <w:t xml:space="preserve"> co-authored publications emanating from this project since I joined Emory in 1998, I have led or supervised analyses of the impact of the supplementation on </w:t>
      </w:r>
      <w:r w:rsidR="00D378BF">
        <w:rPr>
          <w:rFonts w:cs="Arial"/>
          <w:szCs w:val="22"/>
        </w:rPr>
        <w:t xml:space="preserve">cardiometabolic disease and </w:t>
      </w:r>
      <w:r w:rsidR="002731CB" w:rsidRPr="002A6455">
        <w:rPr>
          <w:rFonts w:cs="Arial"/>
          <w:szCs w:val="22"/>
        </w:rPr>
        <w:t>cognitive functioning in adulthood and on the impacts of the intervention on growth in the next generation</w:t>
      </w:r>
      <w:r w:rsidR="00B567E3">
        <w:rPr>
          <w:rFonts w:cs="Arial"/>
          <w:szCs w:val="22"/>
        </w:rPr>
        <w:t xml:space="preserve">. </w:t>
      </w:r>
    </w:p>
    <w:p w14:paraId="0751D760" w14:textId="42A8D0AB" w:rsidR="002731CB" w:rsidRPr="00865B25" w:rsidRDefault="002731CB" w:rsidP="00865B25">
      <w:pPr>
        <w:pStyle w:val="ListParagraph"/>
        <w:tabs>
          <w:tab w:val="left" w:pos="520"/>
        </w:tabs>
        <w:kinsoku w:val="0"/>
        <w:overflowPunct w:val="0"/>
        <w:spacing w:after="120"/>
        <w:ind w:left="518" w:right="167" w:firstLine="0"/>
        <w:rPr>
          <w:sz w:val="22"/>
          <w:szCs w:val="22"/>
        </w:rPr>
      </w:pPr>
      <w:r w:rsidRPr="00865B25">
        <w:rPr>
          <w:sz w:val="22"/>
          <w:szCs w:val="22"/>
        </w:rPr>
        <w:t xml:space="preserve">Stein AD, Barnhart HX, Wang M, Hoshen MB, </w:t>
      </w:r>
      <w:proofErr w:type="spellStart"/>
      <w:r w:rsidRPr="00865B25">
        <w:rPr>
          <w:sz w:val="22"/>
          <w:szCs w:val="22"/>
        </w:rPr>
        <w:t>Ologoudou</w:t>
      </w:r>
      <w:proofErr w:type="spellEnd"/>
      <w:r w:rsidRPr="00865B25">
        <w:rPr>
          <w:sz w:val="22"/>
          <w:szCs w:val="22"/>
        </w:rPr>
        <w:t xml:space="preserve"> K, Ramakrishnan U, </w:t>
      </w:r>
      <w:proofErr w:type="spellStart"/>
      <w:r w:rsidRPr="00865B25">
        <w:rPr>
          <w:sz w:val="22"/>
          <w:szCs w:val="22"/>
        </w:rPr>
        <w:t>Grajeda</w:t>
      </w:r>
      <w:proofErr w:type="spellEnd"/>
      <w:r w:rsidRPr="00865B25">
        <w:rPr>
          <w:sz w:val="22"/>
          <w:szCs w:val="22"/>
        </w:rPr>
        <w:t xml:space="preserve"> R, Ramirez-Zea M, Martorell R. Comparison of linear growth patterns in the first three years of life across two generations in Guatemala. </w:t>
      </w:r>
      <w:r w:rsidRPr="00865B25">
        <w:rPr>
          <w:i/>
          <w:iCs/>
          <w:sz w:val="22"/>
          <w:szCs w:val="22"/>
        </w:rPr>
        <w:t>Pediatrics</w:t>
      </w:r>
      <w:r w:rsidR="00C166D0" w:rsidRPr="00865B25">
        <w:rPr>
          <w:i/>
          <w:iCs/>
          <w:sz w:val="22"/>
          <w:szCs w:val="22"/>
        </w:rPr>
        <w:t>.</w:t>
      </w:r>
      <w:r w:rsidR="00921395" w:rsidRPr="00865B25">
        <w:rPr>
          <w:sz w:val="22"/>
          <w:szCs w:val="22"/>
        </w:rPr>
        <w:t xml:space="preserve"> </w:t>
      </w:r>
      <w:r w:rsidRPr="00865B25">
        <w:rPr>
          <w:sz w:val="22"/>
          <w:szCs w:val="22"/>
        </w:rPr>
        <w:t>2004;113(3.1</w:t>
      </w:r>
      <w:proofErr w:type="gramStart"/>
      <w:r w:rsidRPr="00865B25">
        <w:rPr>
          <w:sz w:val="22"/>
          <w:szCs w:val="22"/>
        </w:rPr>
        <w:t>):e</w:t>
      </w:r>
      <w:proofErr w:type="gramEnd"/>
      <w:r w:rsidRPr="00865B25">
        <w:rPr>
          <w:sz w:val="22"/>
          <w:szCs w:val="22"/>
        </w:rPr>
        <w:t>270-e27</w:t>
      </w:r>
      <w:r w:rsidR="00921395" w:rsidRPr="00865B25">
        <w:rPr>
          <w:sz w:val="22"/>
          <w:szCs w:val="22"/>
        </w:rPr>
        <w:t>5.</w:t>
      </w:r>
    </w:p>
    <w:p w14:paraId="69C02AE8" w14:textId="4B2CF91C" w:rsidR="002731CB" w:rsidRPr="00865B25" w:rsidRDefault="00921395" w:rsidP="00865B25">
      <w:pPr>
        <w:pStyle w:val="ListParagraph"/>
        <w:tabs>
          <w:tab w:val="left" w:pos="520"/>
        </w:tabs>
        <w:kinsoku w:val="0"/>
        <w:overflowPunct w:val="0"/>
        <w:spacing w:after="120"/>
        <w:ind w:left="518" w:right="599" w:firstLine="0"/>
        <w:rPr>
          <w:sz w:val="22"/>
          <w:szCs w:val="22"/>
        </w:rPr>
      </w:pPr>
      <w:r w:rsidRPr="00865B25">
        <w:rPr>
          <w:sz w:val="22"/>
          <w:szCs w:val="22"/>
        </w:rPr>
        <w:t xml:space="preserve">Stein AD, Wang M, DiGirolamo A, </w:t>
      </w:r>
      <w:proofErr w:type="spellStart"/>
      <w:r w:rsidRPr="00865B25">
        <w:rPr>
          <w:sz w:val="22"/>
          <w:szCs w:val="22"/>
        </w:rPr>
        <w:t>Grajeda</w:t>
      </w:r>
      <w:proofErr w:type="spellEnd"/>
      <w:r w:rsidRPr="00865B25">
        <w:rPr>
          <w:sz w:val="22"/>
          <w:szCs w:val="22"/>
        </w:rPr>
        <w:t xml:space="preserve"> R, Ramakrishnan U, Ramirez-Zea M, Yount K, Martorell R. Nutritional supplementation in early childhood, schooling, and intellectual functioning in adulthood: a prospective study in Guatemala. </w:t>
      </w:r>
      <w:r w:rsidRPr="00865B25">
        <w:rPr>
          <w:i/>
          <w:iCs/>
          <w:sz w:val="22"/>
          <w:szCs w:val="22"/>
        </w:rPr>
        <w:t xml:space="preserve">Arch </w:t>
      </w:r>
      <w:proofErr w:type="spellStart"/>
      <w:r w:rsidRPr="00865B25">
        <w:rPr>
          <w:i/>
          <w:iCs/>
          <w:sz w:val="22"/>
          <w:szCs w:val="22"/>
        </w:rPr>
        <w:t>Pediatr</w:t>
      </w:r>
      <w:proofErr w:type="spellEnd"/>
      <w:r w:rsidRPr="00865B25">
        <w:rPr>
          <w:i/>
          <w:iCs/>
          <w:sz w:val="22"/>
          <w:szCs w:val="22"/>
        </w:rPr>
        <w:t xml:space="preserve"> </w:t>
      </w:r>
      <w:proofErr w:type="spellStart"/>
      <w:r w:rsidRPr="00865B25">
        <w:rPr>
          <w:i/>
          <w:iCs/>
          <w:sz w:val="22"/>
          <w:szCs w:val="22"/>
        </w:rPr>
        <w:t>Adolesc</w:t>
      </w:r>
      <w:proofErr w:type="spellEnd"/>
      <w:r w:rsidRPr="00865B25">
        <w:rPr>
          <w:i/>
          <w:iCs/>
          <w:sz w:val="22"/>
          <w:szCs w:val="22"/>
        </w:rPr>
        <w:t xml:space="preserve"> Med.</w:t>
      </w:r>
      <w:r w:rsidRPr="00865B25">
        <w:rPr>
          <w:sz w:val="22"/>
          <w:szCs w:val="22"/>
        </w:rPr>
        <w:t xml:space="preserve"> 2008 Jul;162(7):612-8. PMCID: PMC3733080</w:t>
      </w:r>
    </w:p>
    <w:p w14:paraId="12DC8CD1" w14:textId="02256490" w:rsidR="000F04A7" w:rsidRPr="00865B25" w:rsidRDefault="000F04A7" w:rsidP="00865B25">
      <w:pPr>
        <w:pStyle w:val="ListParagraph"/>
        <w:tabs>
          <w:tab w:val="left" w:pos="520"/>
        </w:tabs>
        <w:kinsoku w:val="0"/>
        <w:overflowPunct w:val="0"/>
        <w:spacing w:after="120"/>
        <w:ind w:left="518" w:right="179" w:firstLine="0"/>
        <w:rPr>
          <w:sz w:val="22"/>
          <w:szCs w:val="22"/>
        </w:rPr>
      </w:pPr>
      <w:r w:rsidRPr="00865B25">
        <w:rPr>
          <w:sz w:val="22"/>
          <w:szCs w:val="22"/>
        </w:rPr>
        <w:t xml:space="preserve">Behrman JR, Calderon MC, Preston SH, Hoddinott J, Martorell R, Stein AD. Nutritional supplementation in girls influences the growth of their children: prospective study in Guatemala. </w:t>
      </w:r>
      <w:r w:rsidRPr="00865B25">
        <w:rPr>
          <w:i/>
          <w:iCs/>
          <w:sz w:val="22"/>
          <w:szCs w:val="22"/>
        </w:rPr>
        <w:t xml:space="preserve">Am J Clin </w:t>
      </w:r>
      <w:proofErr w:type="spellStart"/>
      <w:r w:rsidRPr="00865B25">
        <w:rPr>
          <w:i/>
          <w:iCs/>
          <w:sz w:val="22"/>
          <w:szCs w:val="22"/>
        </w:rPr>
        <w:t>Nutr</w:t>
      </w:r>
      <w:proofErr w:type="spellEnd"/>
      <w:r w:rsidRPr="00865B25">
        <w:rPr>
          <w:i/>
          <w:iCs/>
          <w:sz w:val="22"/>
          <w:szCs w:val="22"/>
        </w:rPr>
        <w:t>.</w:t>
      </w:r>
      <w:r w:rsidRPr="00865B25">
        <w:rPr>
          <w:sz w:val="22"/>
          <w:szCs w:val="22"/>
        </w:rPr>
        <w:t xml:space="preserve"> 2009 Nov;90(5):1372-9. PMCID: PMC2762161</w:t>
      </w:r>
    </w:p>
    <w:p w14:paraId="6F8F8D8D" w14:textId="6159F5A7" w:rsidR="000F04A7" w:rsidRPr="00865B25" w:rsidRDefault="000F04A7" w:rsidP="00865B25">
      <w:pPr>
        <w:pStyle w:val="ListParagraph"/>
        <w:tabs>
          <w:tab w:val="left" w:pos="520"/>
        </w:tabs>
        <w:kinsoku w:val="0"/>
        <w:overflowPunct w:val="0"/>
        <w:spacing w:after="120"/>
        <w:ind w:left="518" w:right="179" w:firstLine="0"/>
        <w:rPr>
          <w:sz w:val="22"/>
          <w:szCs w:val="22"/>
        </w:rPr>
      </w:pPr>
      <w:r w:rsidRPr="00865B25">
        <w:rPr>
          <w:sz w:val="22"/>
          <w:szCs w:val="22"/>
        </w:rPr>
        <w:t xml:space="preserve">Ford ND, Behrman JR, Hoddinott JF, </w:t>
      </w:r>
      <w:proofErr w:type="spellStart"/>
      <w:r w:rsidRPr="00865B25">
        <w:rPr>
          <w:sz w:val="22"/>
          <w:szCs w:val="22"/>
        </w:rPr>
        <w:t>Maluccio</w:t>
      </w:r>
      <w:proofErr w:type="spellEnd"/>
      <w:r w:rsidRPr="00865B25">
        <w:rPr>
          <w:sz w:val="22"/>
          <w:szCs w:val="22"/>
        </w:rPr>
        <w:t xml:space="preserve"> JA, Martorell R, Ramirez-Zea M, Stein AD. Exposure to improved nutrition from conception to age 2 years and adult cardiometabolic disease risk: a modelling study. </w:t>
      </w:r>
      <w:r w:rsidRPr="00865B25">
        <w:rPr>
          <w:i/>
          <w:iCs/>
          <w:sz w:val="22"/>
          <w:szCs w:val="22"/>
        </w:rPr>
        <w:t>Lancet Glob Health</w:t>
      </w:r>
      <w:r w:rsidR="00C166D0" w:rsidRPr="00865B25">
        <w:rPr>
          <w:i/>
          <w:iCs/>
          <w:sz w:val="22"/>
          <w:szCs w:val="22"/>
        </w:rPr>
        <w:t>.</w:t>
      </w:r>
      <w:r w:rsidRPr="00865B25">
        <w:rPr>
          <w:sz w:val="22"/>
          <w:szCs w:val="22"/>
        </w:rPr>
        <w:t xml:space="preserve"> 2018 Aug;6(8</w:t>
      </w:r>
      <w:proofErr w:type="gramStart"/>
      <w:r w:rsidRPr="00865B25">
        <w:rPr>
          <w:sz w:val="22"/>
          <w:szCs w:val="22"/>
        </w:rPr>
        <w:t>):e</w:t>
      </w:r>
      <w:proofErr w:type="gramEnd"/>
      <w:r w:rsidRPr="00865B25">
        <w:rPr>
          <w:sz w:val="22"/>
          <w:szCs w:val="22"/>
        </w:rPr>
        <w:t xml:space="preserve">875-e884. Erratum in: </w:t>
      </w:r>
      <w:r w:rsidRPr="00865B25">
        <w:rPr>
          <w:i/>
          <w:iCs/>
          <w:sz w:val="22"/>
          <w:szCs w:val="22"/>
        </w:rPr>
        <w:t xml:space="preserve">Lancet Glob Health </w:t>
      </w:r>
      <w:r w:rsidRPr="00865B25">
        <w:rPr>
          <w:sz w:val="22"/>
          <w:szCs w:val="22"/>
        </w:rPr>
        <w:t>2020 Jan;8(1</w:t>
      </w:r>
      <w:proofErr w:type="gramStart"/>
      <w:r w:rsidRPr="00865B25">
        <w:rPr>
          <w:sz w:val="22"/>
          <w:szCs w:val="22"/>
        </w:rPr>
        <w:t>):e</w:t>
      </w:r>
      <w:proofErr w:type="gramEnd"/>
      <w:r w:rsidRPr="00865B25">
        <w:rPr>
          <w:sz w:val="22"/>
          <w:szCs w:val="22"/>
        </w:rPr>
        <w:t>38. PMCID: PMC6138451</w:t>
      </w:r>
    </w:p>
    <w:p w14:paraId="6C0CEACB" w14:textId="77777777" w:rsidR="00486FA4" w:rsidRPr="002A6455" w:rsidRDefault="00486FA4" w:rsidP="00486FA4">
      <w:pPr>
        <w:pStyle w:val="ListParagraph"/>
        <w:tabs>
          <w:tab w:val="left" w:pos="520"/>
        </w:tabs>
        <w:kinsoku w:val="0"/>
        <w:overflowPunct w:val="0"/>
        <w:ind w:right="179" w:firstLine="0"/>
        <w:rPr>
          <w:rStyle w:val="docsum-pmid"/>
          <w:sz w:val="22"/>
          <w:szCs w:val="22"/>
        </w:rPr>
      </w:pPr>
    </w:p>
    <w:p w14:paraId="570790EB" w14:textId="395F82F3" w:rsidR="002731CB" w:rsidRPr="00865B25" w:rsidRDefault="00486FA4" w:rsidP="00865B25">
      <w:pPr>
        <w:pStyle w:val="BodyText"/>
        <w:kinsoku w:val="0"/>
        <w:overflowPunct w:val="0"/>
        <w:spacing w:before="73"/>
        <w:ind w:right="157"/>
        <w:jc w:val="both"/>
        <w:rPr>
          <w:rFonts w:cs="Arial"/>
          <w:szCs w:val="22"/>
        </w:rPr>
      </w:pPr>
      <w:r>
        <w:rPr>
          <w:rFonts w:cs="Arial"/>
          <w:b/>
          <w:bCs/>
          <w:szCs w:val="22"/>
        </w:rPr>
        <w:t xml:space="preserve">3. </w:t>
      </w:r>
      <w:r w:rsidR="002731CB" w:rsidRPr="002A6455">
        <w:rPr>
          <w:rFonts w:cs="Arial"/>
          <w:b/>
          <w:bCs/>
          <w:szCs w:val="22"/>
        </w:rPr>
        <w:t>Patterns</w:t>
      </w:r>
      <w:r w:rsidR="002731CB" w:rsidRPr="002A6455">
        <w:rPr>
          <w:rFonts w:cs="Arial"/>
          <w:b/>
          <w:bCs/>
          <w:spacing w:val="-13"/>
          <w:szCs w:val="22"/>
        </w:rPr>
        <w:t xml:space="preserve"> </w:t>
      </w:r>
      <w:r w:rsidR="002731CB" w:rsidRPr="002A6455">
        <w:rPr>
          <w:rFonts w:cs="Arial"/>
          <w:b/>
          <w:bCs/>
          <w:szCs w:val="22"/>
        </w:rPr>
        <w:t>of</w:t>
      </w:r>
      <w:r w:rsidR="002731CB" w:rsidRPr="002A6455">
        <w:rPr>
          <w:rFonts w:cs="Arial"/>
          <w:b/>
          <w:bCs/>
          <w:spacing w:val="-11"/>
          <w:szCs w:val="22"/>
        </w:rPr>
        <w:t xml:space="preserve"> </w:t>
      </w:r>
      <w:r w:rsidR="002731CB" w:rsidRPr="002A6455">
        <w:rPr>
          <w:rFonts w:cs="Arial"/>
          <w:b/>
          <w:bCs/>
          <w:szCs w:val="22"/>
        </w:rPr>
        <w:t>child</w:t>
      </w:r>
      <w:r w:rsidR="002731CB" w:rsidRPr="002A6455">
        <w:rPr>
          <w:rFonts w:cs="Arial"/>
          <w:b/>
          <w:bCs/>
          <w:spacing w:val="-13"/>
          <w:szCs w:val="22"/>
        </w:rPr>
        <w:t xml:space="preserve"> </w:t>
      </w:r>
      <w:r w:rsidR="002731CB" w:rsidRPr="002A6455">
        <w:rPr>
          <w:rFonts w:cs="Arial"/>
          <w:b/>
          <w:bCs/>
          <w:szCs w:val="22"/>
        </w:rPr>
        <w:t>growth</w:t>
      </w:r>
      <w:r w:rsidR="002731CB" w:rsidRPr="002A6455">
        <w:rPr>
          <w:rFonts w:cs="Arial"/>
          <w:b/>
          <w:bCs/>
          <w:spacing w:val="-12"/>
          <w:szCs w:val="22"/>
        </w:rPr>
        <w:t xml:space="preserve"> </w:t>
      </w:r>
      <w:r w:rsidR="002731CB" w:rsidRPr="002A6455">
        <w:rPr>
          <w:rFonts w:cs="Arial"/>
          <w:b/>
          <w:bCs/>
          <w:szCs w:val="22"/>
        </w:rPr>
        <w:t>and</w:t>
      </w:r>
      <w:r w:rsidR="002731CB" w:rsidRPr="002A6455">
        <w:rPr>
          <w:rFonts w:cs="Arial"/>
          <w:b/>
          <w:bCs/>
          <w:spacing w:val="-13"/>
          <w:szCs w:val="22"/>
        </w:rPr>
        <w:t xml:space="preserve"> </w:t>
      </w:r>
      <w:r w:rsidR="002731CB" w:rsidRPr="002A6455">
        <w:rPr>
          <w:rFonts w:cs="Arial"/>
          <w:b/>
          <w:bCs/>
          <w:szCs w:val="22"/>
        </w:rPr>
        <w:t>adult</w:t>
      </w:r>
      <w:r w:rsidR="002731CB" w:rsidRPr="002A6455">
        <w:rPr>
          <w:rFonts w:cs="Arial"/>
          <w:b/>
          <w:bCs/>
          <w:spacing w:val="-12"/>
          <w:szCs w:val="22"/>
        </w:rPr>
        <w:t xml:space="preserve"> </w:t>
      </w:r>
      <w:r w:rsidR="002731CB" w:rsidRPr="002A6455">
        <w:rPr>
          <w:rFonts w:cs="Arial"/>
          <w:b/>
          <w:bCs/>
          <w:szCs w:val="22"/>
        </w:rPr>
        <w:t>human</w:t>
      </w:r>
      <w:r w:rsidR="002731CB" w:rsidRPr="002A6455">
        <w:rPr>
          <w:rFonts w:cs="Arial"/>
          <w:b/>
          <w:bCs/>
          <w:spacing w:val="-13"/>
          <w:szCs w:val="22"/>
        </w:rPr>
        <w:t xml:space="preserve"> </w:t>
      </w:r>
      <w:r w:rsidR="002731CB" w:rsidRPr="002A6455">
        <w:rPr>
          <w:rFonts w:cs="Arial"/>
          <w:b/>
          <w:bCs/>
          <w:szCs w:val="22"/>
        </w:rPr>
        <w:t>capital</w:t>
      </w:r>
      <w:r w:rsidR="002731CB" w:rsidRPr="002A6455">
        <w:rPr>
          <w:rFonts w:cs="Arial"/>
          <w:b/>
          <w:bCs/>
          <w:spacing w:val="-11"/>
          <w:szCs w:val="22"/>
        </w:rPr>
        <w:t xml:space="preserve"> </w:t>
      </w:r>
      <w:r w:rsidR="002731CB" w:rsidRPr="002A6455">
        <w:rPr>
          <w:rFonts w:cs="Arial"/>
          <w:b/>
          <w:bCs/>
          <w:szCs w:val="22"/>
        </w:rPr>
        <w:t>(COHORTS)</w:t>
      </w:r>
      <w:r w:rsidR="002731CB" w:rsidRPr="002A6455">
        <w:rPr>
          <w:rFonts w:cs="Arial"/>
          <w:szCs w:val="22"/>
        </w:rPr>
        <w:t>:</w:t>
      </w:r>
      <w:r w:rsidR="002731CB" w:rsidRPr="002A6455">
        <w:rPr>
          <w:rFonts w:cs="Arial"/>
          <w:spacing w:val="-12"/>
          <w:szCs w:val="22"/>
        </w:rPr>
        <w:t xml:space="preserve"> </w:t>
      </w:r>
      <w:r w:rsidR="002731CB" w:rsidRPr="002A6455">
        <w:rPr>
          <w:rFonts w:cs="Arial"/>
          <w:szCs w:val="22"/>
        </w:rPr>
        <w:t>Most</w:t>
      </w:r>
      <w:r w:rsidR="002731CB" w:rsidRPr="002A6455">
        <w:rPr>
          <w:rFonts w:cs="Arial"/>
          <w:spacing w:val="-13"/>
          <w:szCs w:val="22"/>
        </w:rPr>
        <w:t xml:space="preserve"> </w:t>
      </w:r>
      <w:r w:rsidR="002731CB" w:rsidRPr="002A6455">
        <w:rPr>
          <w:rFonts w:cs="Arial"/>
          <w:szCs w:val="22"/>
        </w:rPr>
        <w:t>of</w:t>
      </w:r>
      <w:r w:rsidR="002731CB" w:rsidRPr="002A6455">
        <w:rPr>
          <w:rFonts w:cs="Arial"/>
          <w:spacing w:val="-11"/>
          <w:szCs w:val="22"/>
        </w:rPr>
        <w:t xml:space="preserve"> </w:t>
      </w:r>
      <w:r w:rsidR="002731CB" w:rsidRPr="002A6455">
        <w:rPr>
          <w:rFonts w:cs="Arial"/>
          <w:szCs w:val="22"/>
        </w:rPr>
        <w:t>our</w:t>
      </w:r>
      <w:r w:rsidR="002731CB" w:rsidRPr="002A6455">
        <w:rPr>
          <w:rFonts w:cs="Arial"/>
          <w:spacing w:val="-13"/>
          <w:szCs w:val="22"/>
        </w:rPr>
        <w:t xml:space="preserve"> </w:t>
      </w:r>
      <w:r w:rsidR="002731CB" w:rsidRPr="002A6455">
        <w:rPr>
          <w:rFonts w:cs="Arial"/>
          <w:szCs w:val="22"/>
        </w:rPr>
        <w:t>understanding</w:t>
      </w:r>
      <w:r w:rsidR="002731CB" w:rsidRPr="002A6455">
        <w:rPr>
          <w:rFonts w:cs="Arial"/>
          <w:spacing w:val="-12"/>
          <w:szCs w:val="22"/>
        </w:rPr>
        <w:t xml:space="preserve"> </w:t>
      </w:r>
      <w:r w:rsidR="002731CB" w:rsidRPr="002A6455">
        <w:rPr>
          <w:rFonts w:cs="Arial"/>
          <w:szCs w:val="22"/>
        </w:rPr>
        <w:t>of</w:t>
      </w:r>
      <w:r w:rsidR="002731CB" w:rsidRPr="002A6455">
        <w:rPr>
          <w:rFonts w:cs="Arial"/>
          <w:spacing w:val="-13"/>
          <w:szCs w:val="22"/>
        </w:rPr>
        <w:t xml:space="preserve"> </w:t>
      </w:r>
      <w:r w:rsidR="002731CB" w:rsidRPr="002A6455">
        <w:rPr>
          <w:rFonts w:cs="Arial"/>
          <w:szCs w:val="22"/>
        </w:rPr>
        <w:t>the</w:t>
      </w:r>
      <w:r w:rsidR="002731CB" w:rsidRPr="002A6455">
        <w:rPr>
          <w:rFonts w:cs="Arial"/>
          <w:spacing w:val="-12"/>
          <w:szCs w:val="22"/>
        </w:rPr>
        <w:t xml:space="preserve"> </w:t>
      </w:r>
      <w:r w:rsidR="002731CB" w:rsidRPr="002A6455">
        <w:rPr>
          <w:rFonts w:cs="Arial"/>
          <w:szCs w:val="22"/>
        </w:rPr>
        <w:t>role</w:t>
      </w:r>
      <w:r w:rsidR="002731CB" w:rsidRPr="002A6455">
        <w:rPr>
          <w:rFonts w:cs="Arial"/>
          <w:spacing w:val="-12"/>
          <w:szCs w:val="22"/>
        </w:rPr>
        <w:t xml:space="preserve"> </w:t>
      </w:r>
      <w:r w:rsidR="002731CB" w:rsidRPr="002A6455">
        <w:rPr>
          <w:rFonts w:cs="Arial"/>
          <w:szCs w:val="22"/>
        </w:rPr>
        <w:t>of</w:t>
      </w:r>
      <w:r w:rsidR="002731CB" w:rsidRPr="002A6455">
        <w:rPr>
          <w:rFonts w:cs="Arial"/>
          <w:spacing w:val="-13"/>
          <w:szCs w:val="22"/>
        </w:rPr>
        <w:t xml:space="preserve"> </w:t>
      </w:r>
      <w:r w:rsidR="002731CB" w:rsidRPr="002A6455">
        <w:rPr>
          <w:rFonts w:cs="Arial"/>
          <w:szCs w:val="22"/>
        </w:rPr>
        <w:t xml:space="preserve">early- life experiences in adult human capital comes from high-income countries, and there are few prospective birth cohort studies in low- and middle-income countries in which study participants have reached adulthood. </w:t>
      </w:r>
      <w:r w:rsidR="002731CB" w:rsidRPr="002A6455">
        <w:rPr>
          <w:rFonts w:cs="Arial"/>
          <w:szCs w:val="22"/>
        </w:rPr>
        <w:lastRenderedPageBreak/>
        <w:t xml:space="preserve">The COHORTS project involves a collaborative pooling of data from birth cohorts in Brazil, Guatemala, India, Philippines, and South Africa. I have been a co-investigator with the project since 2008 and </w:t>
      </w:r>
      <w:r w:rsidR="00B567E3">
        <w:rPr>
          <w:rFonts w:cs="Arial"/>
          <w:szCs w:val="22"/>
        </w:rPr>
        <w:t>recently</w:t>
      </w:r>
      <w:r w:rsidR="002731CB" w:rsidRPr="002A6455">
        <w:rPr>
          <w:rFonts w:cs="Arial"/>
          <w:szCs w:val="22"/>
        </w:rPr>
        <w:t xml:space="preserve"> serve</w:t>
      </w:r>
      <w:r w:rsidR="00B567E3">
        <w:rPr>
          <w:rFonts w:cs="Arial"/>
          <w:szCs w:val="22"/>
        </w:rPr>
        <w:t>d</w:t>
      </w:r>
      <w:r w:rsidR="002731CB" w:rsidRPr="002A6455">
        <w:rPr>
          <w:rFonts w:cs="Arial"/>
          <w:szCs w:val="22"/>
        </w:rPr>
        <w:t xml:space="preserve"> as PI of a Bill and Melinda Gates Foundation-funded wave of fieldwork. I have contributed to the development of the core methodological approach to the study of growth patterns in this group, namely the use of conditional growth</w:t>
      </w:r>
      <w:r w:rsidR="002731CB" w:rsidRPr="002A6455">
        <w:rPr>
          <w:rFonts w:cs="Arial"/>
          <w:spacing w:val="-1"/>
          <w:szCs w:val="22"/>
        </w:rPr>
        <w:t xml:space="preserve"> </w:t>
      </w:r>
      <w:r w:rsidR="002731CB" w:rsidRPr="002A6455">
        <w:rPr>
          <w:rFonts w:cs="Arial"/>
          <w:szCs w:val="22"/>
        </w:rPr>
        <w:t>measures.</w:t>
      </w:r>
    </w:p>
    <w:p w14:paraId="755C1274" w14:textId="4CD5D713" w:rsidR="00C166D0" w:rsidRPr="00865B25" w:rsidRDefault="00C166D0" w:rsidP="00865B25">
      <w:pPr>
        <w:pStyle w:val="ListParagraph"/>
        <w:tabs>
          <w:tab w:val="left" w:pos="520"/>
        </w:tabs>
        <w:kinsoku w:val="0"/>
        <w:overflowPunct w:val="0"/>
        <w:spacing w:after="120"/>
        <w:ind w:right="792" w:firstLine="0"/>
        <w:rPr>
          <w:sz w:val="22"/>
          <w:szCs w:val="22"/>
        </w:rPr>
      </w:pPr>
      <w:r w:rsidRPr="00865B25">
        <w:rPr>
          <w:sz w:val="22"/>
          <w:szCs w:val="22"/>
        </w:rPr>
        <w:t xml:space="preserve">Adair LS, Fall CH, Osmond C, Stein AD, Martorell R, Ramirez-Zea M, Sachdev HS, Dahly DL, Bas I, Norris SA, Micklesfield L, </w:t>
      </w:r>
      <w:proofErr w:type="spellStart"/>
      <w:r w:rsidRPr="00865B25">
        <w:rPr>
          <w:sz w:val="22"/>
          <w:szCs w:val="22"/>
        </w:rPr>
        <w:t>Hallal</w:t>
      </w:r>
      <w:proofErr w:type="spellEnd"/>
      <w:r w:rsidRPr="00865B25">
        <w:rPr>
          <w:sz w:val="22"/>
          <w:szCs w:val="22"/>
        </w:rPr>
        <w:t xml:space="preserve"> P, Victora </w:t>
      </w:r>
      <w:proofErr w:type="gramStart"/>
      <w:r w:rsidRPr="00865B25">
        <w:rPr>
          <w:sz w:val="22"/>
          <w:szCs w:val="22"/>
        </w:rPr>
        <w:t>CG;</w:t>
      </w:r>
      <w:proofErr w:type="gramEnd"/>
      <w:r w:rsidRPr="00865B25">
        <w:rPr>
          <w:sz w:val="22"/>
          <w:szCs w:val="22"/>
        </w:rPr>
        <w:t xml:space="preserve"> COHORTS group. Associations of linear growth and relative weight gain during early life with adult health and human capital in countries of low and middle income: findings from five birth cohort studies. </w:t>
      </w:r>
      <w:r w:rsidRPr="00865B25">
        <w:rPr>
          <w:i/>
          <w:iCs/>
          <w:sz w:val="22"/>
          <w:szCs w:val="22"/>
        </w:rPr>
        <w:t>Lancet.</w:t>
      </w:r>
      <w:r w:rsidRPr="00865B25">
        <w:rPr>
          <w:sz w:val="22"/>
          <w:szCs w:val="22"/>
        </w:rPr>
        <w:t xml:space="preserve"> 2013 Aug 10;382(9891):525-34. PMCID: PMC3744751</w:t>
      </w:r>
    </w:p>
    <w:p w14:paraId="7B6BCE6A" w14:textId="5302DFCB" w:rsidR="00C166D0" w:rsidRPr="00865B25" w:rsidRDefault="00C166D0" w:rsidP="00865B25">
      <w:pPr>
        <w:pStyle w:val="ListParagraph"/>
        <w:tabs>
          <w:tab w:val="left" w:pos="520"/>
        </w:tabs>
        <w:kinsoku w:val="0"/>
        <w:overflowPunct w:val="0"/>
        <w:spacing w:after="120"/>
        <w:ind w:right="266" w:firstLine="0"/>
        <w:rPr>
          <w:sz w:val="22"/>
          <w:szCs w:val="22"/>
        </w:rPr>
      </w:pPr>
      <w:r w:rsidRPr="00865B25">
        <w:rPr>
          <w:sz w:val="22"/>
          <w:szCs w:val="22"/>
        </w:rPr>
        <w:t xml:space="preserve">Stein AD, Barros FC, Bhargava SK, Hao W, Horta BL, Lee N, Kuzawa CW, Martorell R, Ramji S, Stein A, Richter L; Consortium of Health-Orientated Research in Transitioning Societies (COHORTS) investigators. Birth status, child growth, and adult outcomes in low- and middle-income countries. J </w:t>
      </w:r>
      <w:proofErr w:type="spellStart"/>
      <w:r w:rsidRPr="00865B25">
        <w:rPr>
          <w:i/>
          <w:iCs/>
          <w:sz w:val="22"/>
          <w:szCs w:val="22"/>
        </w:rPr>
        <w:t>Pediatr</w:t>
      </w:r>
      <w:proofErr w:type="spellEnd"/>
      <w:r w:rsidRPr="00865B25">
        <w:rPr>
          <w:i/>
          <w:iCs/>
          <w:sz w:val="22"/>
          <w:szCs w:val="22"/>
        </w:rPr>
        <w:t>.</w:t>
      </w:r>
      <w:r w:rsidRPr="00865B25">
        <w:rPr>
          <w:sz w:val="22"/>
          <w:szCs w:val="22"/>
        </w:rPr>
        <w:t xml:space="preserve"> 2013 Dec;163(6):1740-1746.e4. PMCID: PMC3849851</w:t>
      </w:r>
    </w:p>
    <w:p w14:paraId="2A7A6CC1" w14:textId="4FE35A25" w:rsidR="002731CB" w:rsidRPr="00865B25" w:rsidRDefault="00C166D0" w:rsidP="00865B25">
      <w:pPr>
        <w:pStyle w:val="ListParagraph"/>
        <w:tabs>
          <w:tab w:val="left" w:pos="520"/>
        </w:tabs>
        <w:kinsoku w:val="0"/>
        <w:overflowPunct w:val="0"/>
        <w:spacing w:after="120"/>
        <w:ind w:right="266" w:firstLine="0"/>
        <w:rPr>
          <w:sz w:val="22"/>
          <w:szCs w:val="22"/>
        </w:rPr>
      </w:pPr>
      <w:r w:rsidRPr="00865B25">
        <w:rPr>
          <w:sz w:val="22"/>
          <w:szCs w:val="22"/>
        </w:rPr>
        <w:t xml:space="preserve">Fall CH, Sachdev HS, Osmond C, Restrepo-Mendez MC, Victora C, Martorell R, Stein AD, Sinha S, Tandon N, Adair L, Bas I, Norris S, Richter </w:t>
      </w:r>
      <w:proofErr w:type="gramStart"/>
      <w:r w:rsidRPr="00865B25">
        <w:rPr>
          <w:sz w:val="22"/>
          <w:szCs w:val="22"/>
        </w:rPr>
        <w:t>LM;</w:t>
      </w:r>
      <w:proofErr w:type="gramEnd"/>
      <w:r w:rsidRPr="00865B25">
        <w:rPr>
          <w:sz w:val="22"/>
          <w:szCs w:val="22"/>
        </w:rPr>
        <w:t xml:space="preserve"> COHORTS investigators. Association between maternal age at childbirth and child and adult outcomes in the offspring: a prospective study in five low-income and middle-income countries (COHORTS collaboration). </w:t>
      </w:r>
      <w:r w:rsidRPr="00865B25">
        <w:rPr>
          <w:i/>
          <w:iCs/>
          <w:sz w:val="22"/>
          <w:szCs w:val="22"/>
        </w:rPr>
        <w:t>Lancet Glob Health.</w:t>
      </w:r>
      <w:r w:rsidRPr="00865B25">
        <w:rPr>
          <w:sz w:val="22"/>
          <w:szCs w:val="22"/>
        </w:rPr>
        <w:t xml:space="preserve"> 2015 Jul;3(7</w:t>
      </w:r>
      <w:proofErr w:type="gramStart"/>
      <w:r w:rsidRPr="00865B25">
        <w:rPr>
          <w:sz w:val="22"/>
          <w:szCs w:val="22"/>
        </w:rPr>
        <w:t>):e</w:t>
      </w:r>
      <w:proofErr w:type="gramEnd"/>
      <w:r w:rsidRPr="00865B25">
        <w:rPr>
          <w:sz w:val="22"/>
          <w:szCs w:val="22"/>
        </w:rPr>
        <w:t xml:space="preserve">366-77. PMCID: PMC4547329 </w:t>
      </w:r>
    </w:p>
    <w:p w14:paraId="6006285D" w14:textId="7D824949" w:rsidR="00163757" w:rsidRPr="00865B25" w:rsidRDefault="00163757" w:rsidP="00865B25">
      <w:pPr>
        <w:pStyle w:val="ListParagraph"/>
        <w:tabs>
          <w:tab w:val="left" w:pos="520"/>
        </w:tabs>
        <w:kinsoku w:val="0"/>
        <w:overflowPunct w:val="0"/>
        <w:spacing w:after="120"/>
        <w:ind w:right="266" w:firstLine="0"/>
        <w:rPr>
          <w:sz w:val="22"/>
          <w:szCs w:val="22"/>
        </w:rPr>
      </w:pPr>
      <w:r w:rsidRPr="00865B25">
        <w:rPr>
          <w:sz w:val="22"/>
          <w:szCs w:val="22"/>
        </w:rPr>
        <w:t xml:space="preserve">Richter LM, Orkin FM, Roman GD, Dahly DL, Horta BL, Bhargava SK, Norris SA, Stein AD; COHORTS investigators. Comparative Models of Biological and Social Pathways to Predict Child Growth through Age 2 Years from Birth Cohorts in Brazil, India, the Philippines, and South Africa. </w:t>
      </w:r>
      <w:r w:rsidRPr="00865B25">
        <w:rPr>
          <w:i/>
          <w:iCs/>
          <w:sz w:val="22"/>
          <w:szCs w:val="22"/>
        </w:rPr>
        <w:t xml:space="preserve">J </w:t>
      </w:r>
      <w:proofErr w:type="spellStart"/>
      <w:r w:rsidRPr="00865B25">
        <w:rPr>
          <w:i/>
          <w:iCs/>
          <w:sz w:val="22"/>
          <w:szCs w:val="22"/>
        </w:rPr>
        <w:t>Nutr</w:t>
      </w:r>
      <w:proofErr w:type="spellEnd"/>
      <w:r w:rsidRPr="00865B25">
        <w:rPr>
          <w:i/>
          <w:iCs/>
          <w:sz w:val="22"/>
          <w:szCs w:val="22"/>
        </w:rPr>
        <w:t>.</w:t>
      </w:r>
      <w:r w:rsidRPr="00865B25">
        <w:rPr>
          <w:sz w:val="22"/>
          <w:szCs w:val="22"/>
        </w:rPr>
        <w:t xml:space="preserve"> 2018 Aug 1;148(8):1364-1371. PMCID: PMC6075183</w:t>
      </w:r>
    </w:p>
    <w:p w14:paraId="78A56B48" w14:textId="77777777" w:rsidR="002731CB" w:rsidRPr="002A6455" w:rsidRDefault="002731CB" w:rsidP="002731CB">
      <w:pPr>
        <w:pStyle w:val="BodyText"/>
        <w:kinsoku w:val="0"/>
        <w:overflowPunct w:val="0"/>
        <w:rPr>
          <w:rFonts w:cs="Arial"/>
          <w:szCs w:val="22"/>
        </w:rPr>
      </w:pPr>
    </w:p>
    <w:p w14:paraId="7D1196A0" w14:textId="20EA11E3" w:rsidR="002731CB" w:rsidRPr="002A6455" w:rsidRDefault="00486FA4" w:rsidP="002731CB">
      <w:pPr>
        <w:pStyle w:val="BodyText"/>
        <w:kinsoku w:val="0"/>
        <w:overflowPunct w:val="0"/>
        <w:spacing w:before="92"/>
        <w:ind w:left="159" w:right="158"/>
        <w:jc w:val="both"/>
        <w:rPr>
          <w:rFonts w:cs="Arial"/>
          <w:szCs w:val="22"/>
        </w:rPr>
      </w:pPr>
      <w:r>
        <w:rPr>
          <w:rFonts w:cs="Arial"/>
          <w:b/>
          <w:bCs/>
          <w:szCs w:val="22"/>
        </w:rPr>
        <w:t xml:space="preserve">4. </w:t>
      </w:r>
      <w:r w:rsidR="002731CB" w:rsidRPr="002A6455">
        <w:rPr>
          <w:rFonts w:cs="Arial"/>
          <w:b/>
          <w:bCs/>
          <w:szCs w:val="22"/>
        </w:rPr>
        <w:t>Birth</w:t>
      </w:r>
      <w:r w:rsidR="002731CB" w:rsidRPr="002A6455">
        <w:rPr>
          <w:rFonts w:cs="Arial"/>
          <w:b/>
          <w:bCs/>
          <w:spacing w:val="-13"/>
          <w:szCs w:val="22"/>
        </w:rPr>
        <w:t xml:space="preserve"> </w:t>
      </w:r>
      <w:r w:rsidR="002731CB" w:rsidRPr="002A6455">
        <w:rPr>
          <w:rFonts w:cs="Arial"/>
          <w:b/>
          <w:bCs/>
          <w:szCs w:val="22"/>
        </w:rPr>
        <w:t>to</w:t>
      </w:r>
      <w:r w:rsidR="002731CB" w:rsidRPr="002A6455">
        <w:rPr>
          <w:rFonts w:cs="Arial"/>
          <w:b/>
          <w:bCs/>
          <w:spacing w:val="-11"/>
          <w:szCs w:val="22"/>
        </w:rPr>
        <w:t xml:space="preserve"> </w:t>
      </w:r>
      <w:r w:rsidR="00D378BF">
        <w:rPr>
          <w:rFonts w:cs="Arial"/>
          <w:b/>
          <w:bCs/>
          <w:szCs w:val="22"/>
        </w:rPr>
        <w:t>Thirty</w:t>
      </w:r>
      <w:r w:rsidR="002731CB" w:rsidRPr="002A6455">
        <w:rPr>
          <w:rFonts w:cs="Arial"/>
          <w:b/>
          <w:bCs/>
          <w:szCs w:val="22"/>
        </w:rPr>
        <w:t>:</w:t>
      </w:r>
      <w:r w:rsidR="002731CB" w:rsidRPr="002A6455">
        <w:rPr>
          <w:rFonts w:cs="Arial"/>
          <w:b/>
          <w:bCs/>
          <w:spacing w:val="-11"/>
          <w:szCs w:val="22"/>
        </w:rPr>
        <w:t xml:space="preserve"> </w:t>
      </w:r>
      <w:r w:rsidR="002731CB" w:rsidRPr="002A6455">
        <w:rPr>
          <w:rFonts w:cs="Arial"/>
          <w:b/>
          <w:bCs/>
          <w:szCs w:val="22"/>
        </w:rPr>
        <w:t>Multi-generational</w:t>
      </w:r>
      <w:r w:rsidR="002731CB" w:rsidRPr="002A6455">
        <w:rPr>
          <w:rFonts w:cs="Arial"/>
          <w:b/>
          <w:bCs/>
          <w:spacing w:val="-12"/>
          <w:szCs w:val="22"/>
        </w:rPr>
        <w:t xml:space="preserve"> </w:t>
      </w:r>
      <w:r w:rsidR="002731CB" w:rsidRPr="002A6455">
        <w:rPr>
          <w:rFonts w:cs="Arial"/>
          <w:b/>
          <w:bCs/>
          <w:szCs w:val="22"/>
        </w:rPr>
        <w:t>study</w:t>
      </w:r>
      <w:r w:rsidR="002731CB" w:rsidRPr="002A6455">
        <w:rPr>
          <w:rFonts w:cs="Arial"/>
          <w:b/>
          <w:bCs/>
          <w:spacing w:val="-14"/>
          <w:szCs w:val="22"/>
        </w:rPr>
        <w:t xml:space="preserve"> </w:t>
      </w:r>
      <w:r w:rsidR="002731CB" w:rsidRPr="002A6455">
        <w:rPr>
          <w:rFonts w:cs="Arial"/>
          <w:b/>
          <w:bCs/>
          <w:szCs w:val="22"/>
        </w:rPr>
        <w:t>of</w:t>
      </w:r>
      <w:r w:rsidR="002731CB" w:rsidRPr="002A6455">
        <w:rPr>
          <w:rFonts w:cs="Arial"/>
          <w:b/>
          <w:bCs/>
          <w:spacing w:val="-11"/>
          <w:szCs w:val="22"/>
        </w:rPr>
        <w:t xml:space="preserve"> </w:t>
      </w:r>
      <w:r w:rsidR="002731CB" w:rsidRPr="002A6455">
        <w:rPr>
          <w:rFonts w:cs="Arial"/>
          <w:b/>
          <w:bCs/>
          <w:szCs w:val="22"/>
        </w:rPr>
        <w:t>growth</w:t>
      </w:r>
      <w:r w:rsidR="002731CB" w:rsidRPr="002A6455">
        <w:rPr>
          <w:rFonts w:cs="Arial"/>
          <w:b/>
          <w:bCs/>
          <w:spacing w:val="-12"/>
          <w:szCs w:val="22"/>
        </w:rPr>
        <w:t xml:space="preserve"> </w:t>
      </w:r>
      <w:r w:rsidR="002731CB" w:rsidRPr="002A6455">
        <w:rPr>
          <w:rFonts w:cs="Arial"/>
          <w:b/>
          <w:bCs/>
          <w:szCs w:val="22"/>
        </w:rPr>
        <w:t>and</w:t>
      </w:r>
      <w:r w:rsidR="002731CB" w:rsidRPr="002A6455">
        <w:rPr>
          <w:rFonts w:cs="Arial"/>
          <w:b/>
          <w:bCs/>
          <w:spacing w:val="-13"/>
          <w:szCs w:val="22"/>
        </w:rPr>
        <w:t xml:space="preserve"> </w:t>
      </w:r>
      <w:r w:rsidR="002731CB" w:rsidRPr="002A6455">
        <w:rPr>
          <w:rFonts w:cs="Arial"/>
          <w:b/>
          <w:bCs/>
          <w:szCs w:val="22"/>
        </w:rPr>
        <w:t>development</w:t>
      </w:r>
      <w:r w:rsidR="002731CB" w:rsidRPr="002A6455">
        <w:rPr>
          <w:rFonts w:cs="Arial"/>
          <w:b/>
          <w:bCs/>
          <w:spacing w:val="-12"/>
          <w:szCs w:val="22"/>
        </w:rPr>
        <w:t xml:space="preserve"> </w:t>
      </w:r>
      <w:r w:rsidR="002731CB" w:rsidRPr="002A6455">
        <w:rPr>
          <w:rFonts w:cs="Arial"/>
          <w:b/>
          <w:bCs/>
          <w:szCs w:val="22"/>
        </w:rPr>
        <w:t>in</w:t>
      </w:r>
      <w:r w:rsidR="002731CB" w:rsidRPr="002A6455">
        <w:rPr>
          <w:rFonts w:cs="Arial"/>
          <w:b/>
          <w:bCs/>
          <w:spacing w:val="-12"/>
          <w:szCs w:val="22"/>
        </w:rPr>
        <w:t xml:space="preserve"> </w:t>
      </w:r>
      <w:r w:rsidR="002731CB" w:rsidRPr="002A6455">
        <w:rPr>
          <w:rFonts w:cs="Arial"/>
          <w:b/>
          <w:bCs/>
          <w:szCs w:val="22"/>
        </w:rPr>
        <w:t>South</w:t>
      </w:r>
      <w:r w:rsidR="002731CB" w:rsidRPr="002A6455">
        <w:rPr>
          <w:rFonts w:cs="Arial"/>
          <w:b/>
          <w:bCs/>
          <w:spacing w:val="-13"/>
          <w:szCs w:val="22"/>
        </w:rPr>
        <w:t xml:space="preserve"> </w:t>
      </w:r>
      <w:r w:rsidR="002731CB" w:rsidRPr="002A6455">
        <w:rPr>
          <w:rFonts w:cs="Arial"/>
          <w:b/>
          <w:bCs/>
          <w:szCs w:val="22"/>
        </w:rPr>
        <w:t>Africa:</w:t>
      </w:r>
      <w:r w:rsidR="002731CB" w:rsidRPr="002A6455">
        <w:rPr>
          <w:rFonts w:cs="Arial"/>
          <w:b/>
          <w:bCs/>
          <w:spacing w:val="-10"/>
          <w:szCs w:val="22"/>
        </w:rPr>
        <w:t xml:space="preserve"> </w:t>
      </w:r>
      <w:r w:rsidR="002731CB" w:rsidRPr="002A6455">
        <w:rPr>
          <w:rFonts w:cs="Arial"/>
          <w:szCs w:val="22"/>
        </w:rPr>
        <w:t>This</w:t>
      </w:r>
      <w:r w:rsidR="002731CB" w:rsidRPr="002A6455">
        <w:rPr>
          <w:rFonts w:cs="Arial"/>
          <w:spacing w:val="-13"/>
          <w:szCs w:val="22"/>
        </w:rPr>
        <w:t xml:space="preserve"> </w:t>
      </w:r>
      <w:r w:rsidR="002731CB" w:rsidRPr="002A6455">
        <w:rPr>
          <w:rFonts w:cs="Arial"/>
          <w:szCs w:val="22"/>
        </w:rPr>
        <w:t>is</w:t>
      </w:r>
      <w:r w:rsidR="002731CB" w:rsidRPr="002A6455">
        <w:rPr>
          <w:rFonts w:cs="Arial"/>
          <w:spacing w:val="-12"/>
          <w:szCs w:val="22"/>
        </w:rPr>
        <w:t xml:space="preserve"> </w:t>
      </w:r>
      <w:r w:rsidR="002731CB" w:rsidRPr="002A6455">
        <w:rPr>
          <w:rFonts w:cs="Arial"/>
          <w:szCs w:val="22"/>
        </w:rPr>
        <w:t>a</w:t>
      </w:r>
      <w:r w:rsidR="002731CB" w:rsidRPr="002A6455">
        <w:rPr>
          <w:rFonts w:cs="Arial"/>
          <w:spacing w:val="-12"/>
          <w:szCs w:val="22"/>
        </w:rPr>
        <w:t xml:space="preserve"> </w:t>
      </w:r>
      <w:r w:rsidR="002731CB" w:rsidRPr="002A6455">
        <w:rPr>
          <w:rFonts w:cs="Arial"/>
          <w:szCs w:val="22"/>
        </w:rPr>
        <w:t>study, initiated</w:t>
      </w:r>
      <w:r w:rsidR="002731CB" w:rsidRPr="002A6455">
        <w:rPr>
          <w:rFonts w:cs="Arial"/>
          <w:spacing w:val="-13"/>
          <w:szCs w:val="22"/>
        </w:rPr>
        <w:t xml:space="preserve"> </w:t>
      </w:r>
      <w:r w:rsidR="002731CB" w:rsidRPr="002A6455">
        <w:rPr>
          <w:rFonts w:cs="Arial"/>
          <w:szCs w:val="22"/>
        </w:rPr>
        <w:t>in</w:t>
      </w:r>
      <w:r w:rsidR="002731CB" w:rsidRPr="002A6455">
        <w:rPr>
          <w:rFonts w:cs="Arial"/>
          <w:spacing w:val="-13"/>
          <w:szCs w:val="22"/>
        </w:rPr>
        <w:t xml:space="preserve"> </w:t>
      </w:r>
      <w:r w:rsidR="002731CB" w:rsidRPr="002A6455">
        <w:rPr>
          <w:rFonts w:cs="Arial"/>
          <w:szCs w:val="22"/>
        </w:rPr>
        <w:t>1990,</w:t>
      </w:r>
      <w:r w:rsidR="002731CB" w:rsidRPr="002A6455">
        <w:rPr>
          <w:rFonts w:cs="Arial"/>
          <w:spacing w:val="-13"/>
          <w:szCs w:val="22"/>
        </w:rPr>
        <w:t xml:space="preserve"> </w:t>
      </w:r>
      <w:r w:rsidR="002731CB" w:rsidRPr="002A6455">
        <w:rPr>
          <w:rFonts w:cs="Arial"/>
          <w:szCs w:val="22"/>
        </w:rPr>
        <w:t>in</w:t>
      </w:r>
      <w:r w:rsidR="002731CB" w:rsidRPr="002A6455">
        <w:rPr>
          <w:rFonts w:cs="Arial"/>
          <w:spacing w:val="-12"/>
          <w:szCs w:val="22"/>
        </w:rPr>
        <w:t xml:space="preserve"> </w:t>
      </w:r>
      <w:r w:rsidR="002731CB" w:rsidRPr="002A6455">
        <w:rPr>
          <w:rFonts w:cs="Arial"/>
          <w:szCs w:val="22"/>
        </w:rPr>
        <w:t>which</w:t>
      </w:r>
      <w:r w:rsidR="002731CB" w:rsidRPr="002A6455">
        <w:rPr>
          <w:rFonts w:cs="Arial"/>
          <w:spacing w:val="-13"/>
          <w:szCs w:val="22"/>
        </w:rPr>
        <w:t xml:space="preserve"> </w:t>
      </w:r>
      <w:r w:rsidR="002731CB" w:rsidRPr="002A6455">
        <w:rPr>
          <w:rFonts w:cs="Arial"/>
          <w:szCs w:val="22"/>
        </w:rPr>
        <w:t>births</w:t>
      </w:r>
      <w:r w:rsidR="002731CB" w:rsidRPr="002A6455">
        <w:rPr>
          <w:rFonts w:cs="Arial"/>
          <w:spacing w:val="-13"/>
          <w:szCs w:val="22"/>
        </w:rPr>
        <w:t xml:space="preserve"> </w:t>
      </w:r>
      <w:r w:rsidR="002731CB" w:rsidRPr="002A6455">
        <w:rPr>
          <w:rFonts w:cs="Arial"/>
          <w:szCs w:val="22"/>
        </w:rPr>
        <w:t>in</w:t>
      </w:r>
      <w:r w:rsidR="002731CB" w:rsidRPr="002A6455">
        <w:rPr>
          <w:rFonts w:cs="Arial"/>
          <w:spacing w:val="-13"/>
          <w:szCs w:val="22"/>
        </w:rPr>
        <w:t xml:space="preserve"> </w:t>
      </w:r>
      <w:r w:rsidR="002731CB" w:rsidRPr="002A6455">
        <w:rPr>
          <w:rFonts w:cs="Arial"/>
          <w:szCs w:val="22"/>
        </w:rPr>
        <w:t>Johannesburg</w:t>
      </w:r>
      <w:r w:rsidR="002731CB" w:rsidRPr="002A6455">
        <w:rPr>
          <w:rFonts w:cs="Arial"/>
          <w:spacing w:val="-11"/>
          <w:szCs w:val="22"/>
        </w:rPr>
        <w:t xml:space="preserve"> </w:t>
      </w:r>
      <w:r w:rsidR="002731CB" w:rsidRPr="002A6455">
        <w:rPr>
          <w:rFonts w:cs="Arial"/>
          <w:szCs w:val="22"/>
        </w:rPr>
        <w:t>were</w:t>
      </w:r>
      <w:r w:rsidR="002731CB" w:rsidRPr="002A6455">
        <w:rPr>
          <w:rFonts w:cs="Arial"/>
          <w:spacing w:val="-13"/>
          <w:szCs w:val="22"/>
        </w:rPr>
        <w:t xml:space="preserve"> </w:t>
      </w:r>
      <w:r w:rsidR="002731CB" w:rsidRPr="002A6455">
        <w:rPr>
          <w:rFonts w:cs="Arial"/>
          <w:szCs w:val="22"/>
        </w:rPr>
        <w:t>recruited.</w:t>
      </w:r>
      <w:r w:rsidR="002731CB" w:rsidRPr="002A6455">
        <w:rPr>
          <w:rFonts w:cs="Arial"/>
          <w:spacing w:val="-13"/>
          <w:szCs w:val="22"/>
        </w:rPr>
        <w:t xml:space="preserve"> </w:t>
      </w:r>
      <w:r w:rsidR="002731CB" w:rsidRPr="002A6455">
        <w:rPr>
          <w:rFonts w:cs="Arial"/>
          <w:szCs w:val="22"/>
        </w:rPr>
        <w:t>Follow-up</w:t>
      </w:r>
      <w:r w:rsidR="002731CB" w:rsidRPr="002A6455">
        <w:rPr>
          <w:rFonts w:cs="Arial"/>
          <w:spacing w:val="-13"/>
          <w:szCs w:val="22"/>
        </w:rPr>
        <w:t xml:space="preserve"> </w:t>
      </w:r>
      <w:r w:rsidR="002731CB" w:rsidRPr="002A6455">
        <w:rPr>
          <w:rFonts w:cs="Arial"/>
          <w:szCs w:val="22"/>
        </w:rPr>
        <w:t>fieldwork</w:t>
      </w:r>
      <w:r w:rsidR="002731CB" w:rsidRPr="002A6455">
        <w:rPr>
          <w:rFonts w:cs="Arial"/>
          <w:spacing w:val="-12"/>
          <w:szCs w:val="22"/>
        </w:rPr>
        <w:t xml:space="preserve"> </w:t>
      </w:r>
      <w:r w:rsidR="002731CB" w:rsidRPr="002A6455">
        <w:rPr>
          <w:rFonts w:cs="Arial"/>
          <w:szCs w:val="22"/>
        </w:rPr>
        <w:t>has</w:t>
      </w:r>
      <w:r w:rsidR="002731CB" w:rsidRPr="002A6455">
        <w:rPr>
          <w:rFonts w:cs="Arial"/>
          <w:spacing w:val="-13"/>
          <w:szCs w:val="22"/>
        </w:rPr>
        <w:t xml:space="preserve"> </w:t>
      </w:r>
      <w:r w:rsidR="002731CB" w:rsidRPr="002A6455">
        <w:rPr>
          <w:rFonts w:cs="Arial"/>
          <w:szCs w:val="22"/>
        </w:rPr>
        <w:t>been</w:t>
      </w:r>
      <w:r w:rsidR="002731CB" w:rsidRPr="002A6455">
        <w:rPr>
          <w:rFonts w:cs="Arial"/>
          <w:spacing w:val="-13"/>
          <w:szCs w:val="22"/>
        </w:rPr>
        <w:t xml:space="preserve"> </w:t>
      </w:r>
      <w:r w:rsidR="002731CB" w:rsidRPr="002A6455">
        <w:rPr>
          <w:rFonts w:cs="Arial"/>
          <w:szCs w:val="22"/>
        </w:rPr>
        <w:t>conducted</w:t>
      </w:r>
      <w:r w:rsidR="002731CB" w:rsidRPr="002A6455">
        <w:rPr>
          <w:rFonts w:cs="Arial"/>
          <w:spacing w:val="-13"/>
          <w:szCs w:val="22"/>
        </w:rPr>
        <w:t xml:space="preserve"> </w:t>
      </w:r>
      <w:r w:rsidR="002731CB" w:rsidRPr="002A6455">
        <w:rPr>
          <w:rFonts w:cs="Arial"/>
          <w:szCs w:val="22"/>
        </w:rPr>
        <w:t>almost annually (most recently in 201</w:t>
      </w:r>
      <w:r w:rsidR="001817A4">
        <w:rPr>
          <w:rFonts w:cs="Arial"/>
          <w:szCs w:val="22"/>
        </w:rPr>
        <w:t>7</w:t>
      </w:r>
      <w:r w:rsidR="002731CB" w:rsidRPr="002A6455">
        <w:rPr>
          <w:rFonts w:cs="Arial"/>
          <w:szCs w:val="22"/>
        </w:rPr>
        <w:t>-</w:t>
      </w:r>
      <w:r w:rsidR="001817A4">
        <w:rPr>
          <w:rFonts w:cs="Arial"/>
          <w:szCs w:val="22"/>
        </w:rPr>
        <w:t>8 in the context of the COHORTS project that I led</w:t>
      </w:r>
      <w:r w:rsidR="002731CB" w:rsidRPr="002A6455">
        <w:rPr>
          <w:rFonts w:cs="Arial"/>
          <w:szCs w:val="22"/>
        </w:rPr>
        <w:t xml:space="preserve">), and the study has become a platform for ancillary research. I have collaborated with the South African investigators since 2008. We have adapted methodologies for the analyses of longitudinal </w:t>
      </w:r>
      <w:r w:rsidR="00F87FB8" w:rsidRPr="002A6455">
        <w:rPr>
          <w:rFonts w:cs="Arial"/>
          <w:szCs w:val="22"/>
        </w:rPr>
        <w:t>data and</w:t>
      </w:r>
      <w:r w:rsidR="002731CB" w:rsidRPr="002A6455">
        <w:rPr>
          <w:rFonts w:cs="Arial"/>
          <w:szCs w:val="22"/>
        </w:rPr>
        <w:t xml:space="preserve"> conducted qualitative research to enhance the interpretation of study</w:t>
      </w:r>
      <w:r w:rsidR="002731CB" w:rsidRPr="002A6455">
        <w:rPr>
          <w:rFonts w:cs="Arial"/>
          <w:spacing w:val="-15"/>
          <w:szCs w:val="22"/>
        </w:rPr>
        <w:t xml:space="preserve"> </w:t>
      </w:r>
      <w:r w:rsidR="002731CB" w:rsidRPr="002A6455">
        <w:rPr>
          <w:rFonts w:cs="Arial"/>
          <w:szCs w:val="22"/>
        </w:rPr>
        <w:t>findings.</w:t>
      </w:r>
    </w:p>
    <w:p w14:paraId="2F2E6108" w14:textId="1E64A63C" w:rsidR="006662EF" w:rsidRPr="00865B25" w:rsidRDefault="006662EF" w:rsidP="00865B25">
      <w:pPr>
        <w:pStyle w:val="ListParagraph"/>
        <w:tabs>
          <w:tab w:val="left" w:pos="520"/>
        </w:tabs>
        <w:kinsoku w:val="0"/>
        <w:overflowPunct w:val="0"/>
        <w:spacing w:after="120"/>
        <w:ind w:left="518" w:right="214" w:firstLine="0"/>
        <w:rPr>
          <w:sz w:val="22"/>
          <w:szCs w:val="22"/>
        </w:rPr>
      </w:pPr>
      <w:r w:rsidRPr="00865B25">
        <w:rPr>
          <w:sz w:val="22"/>
          <w:szCs w:val="22"/>
        </w:rPr>
        <w:t xml:space="preserve">Lundeen EA, Norris SA, Adair LS, Richter LM, Stein AD. Sex differences in obesity incidence: 20-year prospective cohort in South Africa. </w:t>
      </w:r>
      <w:proofErr w:type="spellStart"/>
      <w:r w:rsidRPr="00865B25">
        <w:rPr>
          <w:i/>
          <w:iCs/>
          <w:sz w:val="22"/>
          <w:szCs w:val="22"/>
        </w:rPr>
        <w:t>Pediatr</w:t>
      </w:r>
      <w:proofErr w:type="spellEnd"/>
      <w:r w:rsidRPr="00865B25">
        <w:rPr>
          <w:i/>
          <w:iCs/>
          <w:sz w:val="22"/>
          <w:szCs w:val="22"/>
        </w:rPr>
        <w:t xml:space="preserve"> </w:t>
      </w:r>
      <w:proofErr w:type="spellStart"/>
      <w:r w:rsidRPr="00865B25">
        <w:rPr>
          <w:i/>
          <w:iCs/>
          <w:sz w:val="22"/>
          <w:szCs w:val="22"/>
        </w:rPr>
        <w:t>Obes</w:t>
      </w:r>
      <w:proofErr w:type="spellEnd"/>
      <w:r w:rsidRPr="00865B25">
        <w:rPr>
          <w:i/>
          <w:iCs/>
          <w:sz w:val="22"/>
          <w:szCs w:val="22"/>
        </w:rPr>
        <w:t>.</w:t>
      </w:r>
      <w:r w:rsidRPr="00865B25">
        <w:rPr>
          <w:sz w:val="22"/>
          <w:szCs w:val="22"/>
        </w:rPr>
        <w:t xml:space="preserve"> 2016 Feb;11(1):75-80. PMCID: PMC4832364</w:t>
      </w:r>
    </w:p>
    <w:p w14:paraId="099EE964" w14:textId="10623C3F" w:rsidR="002731CB" w:rsidRPr="00865B25" w:rsidRDefault="00BA5D79" w:rsidP="00865B25">
      <w:pPr>
        <w:pStyle w:val="ListParagraph"/>
        <w:tabs>
          <w:tab w:val="left" w:pos="520"/>
        </w:tabs>
        <w:kinsoku w:val="0"/>
        <w:overflowPunct w:val="0"/>
        <w:spacing w:after="120"/>
        <w:ind w:left="518" w:right="170" w:firstLine="0"/>
        <w:rPr>
          <w:sz w:val="22"/>
          <w:szCs w:val="22"/>
        </w:rPr>
      </w:pPr>
      <w:r w:rsidRPr="00865B25">
        <w:rPr>
          <w:sz w:val="22"/>
          <w:szCs w:val="22"/>
        </w:rPr>
        <w:t xml:space="preserve">Lundeen EA, Norris SA, Martorell R, Suchdev PS, Mehta NK, Richter LM, Stein AD. Early Life Growth Predicts Pubertal Development in South African Adolescents. </w:t>
      </w:r>
      <w:r w:rsidRPr="00865B25">
        <w:rPr>
          <w:i/>
          <w:iCs/>
          <w:sz w:val="22"/>
          <w:szCs w:val="22"/>
        </w:rPr>
        <w:t xml:space="preserve">J </w:t>
      </w:r>
      <w:proofErr w:type="spellStart"/>
      <w:r w:rsidRPr="00865B25">
        <w:rPr>
          <w:i/>
          <w:iCs/>
          <w:sz w:val="22"/>
          <w:szCs w:val="22"/>
        </w:rPr>
        <w:t>Nutr</w:t>
      </w:r>
      <w:proofErr w:type="spellEnd"/>
      <w:r w:rsidRPr="00865B25">
        <w:rPr>
          <w:i/>
          <w:iCs/>
          <w:sz w:val="22"/>
          <w:szCs w:val="22"/>
        </w:rPr>
        <w:t>.</w:t>
      </w:r>
      <w:r w:rsidRPr="00865B25">
        <w:rPr>
          <w:sz w:val="22"/>
          <w:szCs w:val="22"/>
        </w:rPr>
        <w:t xml:space="preserve"> 2016 Mar;146(3):622-9. PMCID: PMC4763484</w:t>
      </w:r>
    </w:p>
    <w:p w14:paraId="5749D61B" w14:textId="364438FE" w:rsidR="00BA5D79" w:rsidRPr="00865B25" w:rsidRDefault="00BA5D79" w:rsidP="00865B25">
      <w:pPr>
        <w:pStyle w:val="ListParagraph"/>
        <w:tabs>
          <w:tab w:val="left" w:pos="520"/>
        </w:tabs>
        <w:kinsoku w:val="0"/>
        <w:overflowPunct w:val="0"/>
        <w:spacing w:after="120"/>
        <w:ind w:left="518" w:right="202" w:firstLine="0"/>
        <w:rPr>
          <w:sz w:val="22"/>
          <w:szCs w:val="22"/>
        </w:rPr>
      </w:pPr>
      <w:r w:rsidRPr="00865B25">
        <w:rPr>
          <w:sz w:val="22"/>
          <w:szCs w:val="22"/>
        </w:rPr>
        <w:t xml:space="preserve">Stein AD, Lundeen EA, Martorell R, Suchdev PS, Mehta NK, Richter LM, Norris SA. Pubertal Development and Prepubertal Height and Weight Jointly Predict Young Adult Height and Body Mass Index in a Prospective Study in South Africa. </w:t>
      </w:r>
      <w:r w:rsidRPr="00865B25">
        <w:rPr>
          <w:i/>
          <w:iCs/>
          <w:sz w:val="22"/>
          <w:szCs w:val="22"/>
        </w:rPr>
        <w:t xml:space="preserve">J </w:t>
      </w:r>
      <w:proofErr w:type="spellStart"/>
      <w:r w:rsidRPr="00865B25">
        <w:rPr>
          <w:i/>
          <w:iCs/>
          <w:sz w:val="22"/>
          <w:szCs w:val="22"/>
        </w:rPr>
        <w:t>Nutr</w:t>
      </w:r>
      <w:proofErr w:type="spellEnd"/>
      <w:r w:rsidRPr="00865B25">
        <w:rPr>
          <w:i/>
          <w:iCs/>
          <w:sz w:val="22"/>
          <w:szCs w:val="22"/>
        </w:rPr>
        <w:t>.</w:t>
      </w:r>
      <w:r w:rsidRPr="00865B25">
        <w:rPr>
          <w:sz w:val="22"/>
          <w:szCs w:val="22"/>
        </w:rPr>
        <w:t xml:space="preserve"> 2016 Jul;146(7):1394-401. PMCID: PMC4926854</w:t>
      </w:r>
    </w:p>
    <w:p w14:paraId="638BA567" w14:textId="55C61745" w:rsidR="00BA5D79" w:rsidRPr="00865B25" w:rsidRDefault="00BA5D79" w:rsidP="00865B25">
      <w:pPr>
        <w:pStyle w:val="ListParagraph"/>
        <w:spacing w:after="120"/>
        <w:ind w:left="518" w:firstLine="0"/>
        <w:rPr>
          <w:sz w:val="22"/>
          <w:szCs w:val="22"/>
        </w:rPr>
      </w:pPr>
      <w:r w:rsidRPr="00865B25">
        <w:rPr>
          <w:sz w:val="22"/>
          <w:szCs w:val="22"/>
        </w:rPr>
        <w:t xml:space="preserve">Hanson SK, Munthali RJ, Lundeen EA, Richter LM, Norris SA, Stein AD. Stunting at 24 months is not related to incidence of overweight through young adulthood in an urban South African birth cohort. </w:t>
      </w:r>
      <w:r w:rsidRPr="00865B25">
        <w:rPr>
          <w:i/>
          <w:iCs/>
          <w:sz w:val="22"/>
          <w:szCs w:val="22"/>
        </w:rPr>
        <w:t xml:space="preserve">J </w:t>
      </w:r>
      <w:proofErr w:type="spellStart"/>
      <w:r w:rsidRPr="00865B25">
        <w:rPr>
          <w:i/>
          <w:iCs/>
          <w:sz w:val="22"/>
          <w:szCs w:val="22"/>
        </w:rPr>
        <w:t>Nutr</w:t>
      </w:r>
      <w:proofErr w:type="spellEnd"/>
      <w:r w:rsidRPr="00865B25">
        <w:rPr>
          <w:sz w:val="22"/>
          <w:szCs w:val="22"/>
        </w:rPr>
        <w:t>. 2018 Jun 1;148(6):967-973. PMCID: PMC6669956</w:t>
      </w:r>
    </w:p>
    <w:p w14:paraId="724B391E" w14:textId="77777777" w:rsidR="00BA5D79" w:rsidRDefault="00BA5D79" w:rsidP="00BA5D79">
      <w:pPr>
        <w:pStyle w:val="ListParagraph"/>
        <w:tabs>
          <w:tab w:val="left" w:pos="520"/>
        </w:tabs>
        <w:kinsoku w:val="0"/>
        <w:overflowPunct w:val="0"/>
        <w:ind w:right="202" w:firstLine="0"/>
        <w:rPr>
          <w:sz w:val="22"/>
          <w:szCs w:val="22"/>
        </w:rPr>
      </w:pPr>
    </w:p>
    <w:p w14:paraId="6DAD2023" w14:textId="77777777" w:rsidR="002731CB" w:rsidRPr="002A6455" w:rsidRDefault="002731CB" w:rsidP="002731CB">
      <w:pPr>
        <w:pStyle w:val="BodyText"/>
        <w:kinsoku w:val="0"/>
        <w:overflowPunct w:val="0"/>
        <w:spacing w:before="4"/>
        <w:rPr>
          <w:rFonts w:cs="Arial"/>
          <w:szCs w:val="22"/>
        </w:rPr>
      </w:pPr>
    </w:p>
    <w:p w14:paraId="25B6C5E5" w14:textId="43C993A1" w:rsidR="002731CB" w:rsidRPr="003F26A5" w:rsidRDefault="00F87FB8" w:rsidP="002B660E">
      <w:pPr>
        <w:pStyle w:val="BodyText"/>
        <w:kinsoku w:val="0"/>
        <w:overflowPunct w:val="0"/>
        <w:spacing w:before="93"/>
        <w:ind w:left="160"/>
        <w:rPr>
          <w:rFonts w:cs="Arial"/>
          <w:b/>
          <w:bCs/>
          <w:color w:val="000000"/>
          <w:szCs w:val="22"/>
        </w:rPr>
      </w:pPr>
      <w:r w:rsidRPr="003F26A5">
        <w:rPr>
          <w:rFonts w:cs="Arial"/>
          <w:b/>
          <w:bCs/>
          <w:szCs w:val="22"/>
        </w:rPr>
        <w:t xml:space="preserve">A </w:t>
      </w:r>
      <w:r w:rsidR="00D378BF">
        <w:rPr>
          <w:rFonts w:cs="Arial"/>
          <w:b/>
          <w:bCs/>
          <w:szCs w:val="22"/>
        </w:rPr>
        <w:t>C</w:t>
      </w:r>
      <w:r w:rsidR="002731CB" w:rsidRPr="003F26A5">
        <w:rPr>
          <w:rFonts w:cs="Arial"/>
          <w:b/>
          <w:bCs/>
          <w:szCs w:val="22"/>
        </w:rPr>
        <w:t>omplete List of Published Work (</w:t>
      </w:r>
      <w:r w:rsidR="003F26A5">
        <w:rPr>
          <w:rFonts w:cs="Arial"/>
          <w:b/>
          <w:bCs/>
          <w:szCs w:val="22"/>
        </w:rPr>
        <w:t xml:space="preserve">over </w:t>
      </w:r>
      <w:r w:rsidR="002731CB" w:rsidRPr="003F26A5">
        <w:rPr>
          <w:rFonts w:cs="Arial"/>
          <w:b/>
          <w:bCs/>
          <w:szCs w:val="22"/>
        </w:rPr>
        <w:t>2</w:t>
      </w:r>
      <w:r w:rsidR="00D378BF">
        <w:rPr>
          <w:rFonts w:cs="Arial"/>
          <w:b/>
          <w:bCs/>
          <w:szCs w:val="22"/>
        </w:rPr>
        <w:t>75</w:t>
      </w:r>
      <w:r w:rsidR="002731CB" w:rsidRPr="003F26A5">
        <w:rPr>
          <w:rFonts w:cs="Arial"/>
          <w:b/>
          <w:bCs/>
          <w:szCs w:val="22"/>
        </w:rPr>
        <w:t xml:space="preserve"> publications since 1990): </w:t>
      </w:r>
      <w:hyperlink r:id="rId11" w:history="1">
        <w:r w:rsidR="002731CB" w:rsidRPr="003F26A5">
          <w:rPr>
            <w:rFonts w:cs="Arial"/>
            <w:b/>
            <w:bCs/>
            <w:color w:val="0000FF"/>
            <w:szCs w:val="22"/>
            <w:u w:val="single"/>
          </w:rPr>
          <w:t>http://www.ncbi.nlm.nih.gov/pubmed/?term=stein+ad+[au</w:t>
        </w:r>
      </w:hyperlink>
      <w:r w:rsidR="002731CB" w:rsidRPr="003F26A5">
        <w:rPr>
          <w:rFonts w:cs="Arial"/>
          <w:b/>
          <w:bCs/>
          <w:color w:val="000000"/>
          <w:szCs w:val="22"/>
        </w:rPr>
        <w:t>]</w:t>
      </w:r>
    </w:p>
    <w:p w14:paraId="5BB8C337" w14:textId="12829F97" w:rsidR="00FC5F9E" w:rsidRPr="002A6455" w:rsidRDefault="00FC5F9E" w:rsidP="005C2CF8">
      <w:pPr>
        <w:pStyle w:val="DataField11pt-Single"/>
        <w:rPr>
          <w:rStyle w:val="Strong"/>
          <w:szCs w:val="22"/>
        </w:rPr>
      </w:pPr>
    </w:p>
    <w:sectPr w:rsidR="00FC5F9E" w:rsidRPr="002A6455" w:rsidSect="001979A0">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430A" w14:textId="77777777" w:rsidR="0057762A" w:rsidRDefault="0057762A">
      <w:r>
        <w:separator/>
      </w:r>
    </w:p>
  </w:endnote>
  <w:endnote w:type="continuationSeparator" w:id="0">
    <w:p w14:paraId="590495DD" w14:textId="77777777" w:rsidR="0057762A" w:rsidRDefault="0057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啳见솾ᾌ났豥핈曻쿞賋᫿沩䵽쪧詪ゔ왾줒黵僅Ἔ빕Ｊସ狪"/>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A3B1" w14:textId="77777777" w:rsidR="0057762A" w:rsidRDefault="0057762A">
      <w:r>
        <w:separator/>
      </w:r>
    </w:p>
  </w:footnote>
  <w:footnote w:type="continuationSeparator" w:id="0">
    <w:p w14:paraId="47408E51" w14:textId="77777777" w:rsidR="0057762A" w:rsidRDefault="0057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3"/>
    <w:multiLevelType w:val="multilevel"/>
    <w:tmpl w:val="7E4E0F24"/>
    <w:lvl w:ilvl="0">
      <w:start w:val="1"/>
      <w:numFmt w:val="lowerLetter"/>
      <w:lvlText w:val="%1."/>
      <w:lvlJc w:val="left"/>
      <w:pPr>
        <w:ind w:left="728" w:hanging="548"/>
      </w:pPr>
      <w:rPr>
        <w:b w:val="0"/>
        <w:bCs w:val="0"/>
        <w:i w:val="0"/>
        <w:iCs w:val="0"/>
        <w:w w:val="99"/>
        <w:sz w:val="22"/>
        <w:szCs w:val="22"/>
      </w:rPr>
    </w:lvl>
    <w:lvl w:ilvl="1">
      <w:numFmt w:val="bullet"/>
      <w:lvlText w:val="•"/>
      <w:lvlJc w:val="left"/>
      <w:pPr>
        <w:ind w:left="1743" w:hanging="548"/>
      </w:pPr>
    </w:lvl>
    <w:lvl w:ilvl="2">
      <w:numFmt w:val="bullet"/>
      <w:lvlText w:val="•"/>
      <w:lvlJc w:val="left"/>
      <w:pPr>
        <w:ind w:left="2785" w:hanging="548"/>
      </w:pPr>
    </w:lvl>
    <w:lvl w:ilvl="3">
      <w:numFmt w:val="bullet"/>
      <w:lvlText w:val="•"/>
      <w:lvlJc w:val="left"/>
      <w:pPr>
        <w:ind w:left="3827" w:hanging="548"/>
      </w:pPr>
    </w:lvl>
    <w:lvl w:ilvl="4">
      <w:numFmt w:val="bullet"/>
      <w:lvlText w:val="•"/>
      <w:lvlJc w:val="left"/>
      <w:pPr>
        <w:ind w:left="4869" w:hanging="548"/>
      </w:pPr>
    </w:lvl>
    <w:lvl w:ilvl="5">
      <w:numFmt w:val="bullet"/>
      <w:lvlText w:val="•"/>
      <w:lvlJc w:val="left"/>
      <w:pPr>
        <w:ind w:left="5911" w:hanging="548"/>
      </w:pPr>
    </w:lvl>
    <w:lvl w:ilvl="6">
      <w:numFmt w:val="bullet"/>
      <w:lvlText w:val="•"/>
      <w:lvlJc w:val="left"/>
      <w:pPr>
        <w:ind w:left="6953" w:hanging="548"/>
      </w:pPr>
    </w:lvl>
    <w:lvl w:ilvl="7">
      <w:numFmt w:val="bullet"/>
      <w:lvlText w:val="•"/>
      <w:lvlJc w:val="left"/>
      <w:pPr>
        <w:ind w:left="7995" w:hanging="548"/>
      </w:pPr>
    </w:lvl>
    <w:lvl w:ilvl="8">
      <w:numFmt w:val="bullet"/>
      <w:lvlText w:val="•"/>
      <w:lvlJc w:val="left"/>
      <w:pPr>
        <w:ind w:left="9037" w:hanging="548"/>
      </w:pPr>
    </w:lvl>
  </w:abstractNum>
  <w:abstractNum w:abstractNumId="11" w15:restartNumberingAfterBreak="0">
    <w:nsid w:val="00000404"/>
    <w:multiLevelType w:val="multilevel"/>
    <w:tmpl w:val="D6F6489A"/>
    <w:lvl w:ilvl="0">
      <w:start w:val="1"/>
      <w:numFmt w:val="lowerLetter"/>
      <w:lvlText w:val="%1."/>
      <w:lvlJc w:val="left"/>
      <w:pPr>
        <w:ind w:left="519" w:hanging="360"/>
      </w:pPr>
      <w:rPr>
        <w:b w:val="0"/>
        <w:bCs w:val="0"/>
        <w:i w:val="0"/>
        <w:iCs w:val="0"/>
        <w:w w:val="99"/>
        <w:sz w:val="22"/>
        <w:szCs w:val="22"/>
      </w:rPr>
    </w:lvl>
    <w:lvl w:ilvl="1">
      <w:numFmt w:val="bullet"/>
      <w:lvlText w:val="•"/>
      <w:lvlJc w:val="left"/>
      <w:pPr>
        <w:ind w:left="1580" w:hanging="360"/>
      </w:pPr>
    </w:lvl>
    <w:lvl w:ilvl="2">
      <w:numFmt w:val="bullet"/>
      <w:lvlText w:val="•"/>
      <w:lvlJc w:val="left"/>
      <w:pPr>
        <w:ind w:left="2640" w:hanging="360"/>
      </w:pPr>
    </w:lvl>
    <w:lvl w:ilvl="3">
      <w:numFmt w:val="bullet"/>
      <w:lvlText w:val="•"/>
      <w:lvlJc w:val="left"/>
      <w:pPr>
        <w:ind w:left="3700" w:hanging="360"/>
      </w:pPr>
    </w:lvl>
    <w:lvl w:ilvl="4">
      <w:numFmt w:val="bullet"/>
      <w:lvlText w:val="•"/>
      <w:lvlJc w:val="left"/>
      <w:pPr>
        <w:ind w:left="4760" w:hanging="360"/>
      </w:pPr>
    </w:lvl>
    <w:lvl w:ilvl="5">
      <w:numFmt w:val="bullet"/>
      <w:lvlText w:val="•"/>
      <w:lvlJc w:val="left"/>
      <w:pPr>
        <w:ind w:left="5820" w:hanging="360"/>
      </w:pPr>
    </w:lvl>
    <w:lvl w:ilvl="6">
      <w:numFmt w:val="bullet"/>
      <w:lvlText w:val="•"/>
      <w:lvlJc w:val="left"/>
      <w:pPr>
        <w:ind w:left="6880" w:hanging="360"/>
      </w:pPr>
    </w:lvl>
    <w:lvl w:ilvl="7">
      <w:numFmt w:val="bullet"/>
      <w:lvlText w:val="•"/>
      <w:lvlJc w:val="left"/>
      <w:pPr>
        <w:ind w:left="7940" w:hanging="360"/>
      </w:pPr>
    </w:lvl>
    <w:lvl w:ilvl="8">
      <w:numFmt w:val="bullet"/>
      <w:lvlText w:val="•"/>
      <w:lvlJc w:val="left"/>
      <w:pPr>
        <w:ind w:left="9000" w:hanging="360"/>
      </w:pPr>
    </w:lvl>
  </w:abstractNum>
  <w:abstractNum w:abstractNumId="12" w15:restartNumberingAfterBreak="0">
    <w:nsid w:val="00000405"/>
    <w:multiLevelType w:val="multilevel"/>
    <w:tmpl w:val="42FC1AAC"/>
    <w:lvl w:ilvl="0">
      <w:start w:val="1"/>
      <w:numFmt w:val="lowerLetter"/>
      <w:lvlText w:val="%1."/>
      <w:lvlJc w:val="left"/>
      <w:pPr>
        <w:ind w:left="520" w:hanging="360"/>
      </w:pPr>
      <w:rPr>
        <w:b w:val="0"/>
        <w:bCs w:val="0"/>
        <w:i w:val="0"/>
        <w:iCs w:val="0"/>
        <w:w w:val="99"/>
        <w:sz w:val="22"/>
        <w:szCs w:val="22"/>
      </w:rPr>
    </w:lvl>
    <w:lvl w:ilvl="1">
      <w:numFmt w:val="bullet"/>
      <w:lvlText w:val="•"/>
      <w:lvlJc w:val="left"/>
      <w:pPr>
        <w:ind w:left="1580" w:hanging="360"/>
      </w:pPr>
    </w:lvl>
    <w:lvl w:ilvl="2">
      <w:numFmt w:val="bullet"/>
      <w:lvlText w:val="•"/>
      <w:lvlJc w:val="left"/>
      <w:pPr>
        <w:ind w:left="2640" w:hanging="360"/>
      </w:pPr>
    </w:lvl>
    <w:lvl w:ilvl="3">
      <w:numFmt w:val="bullet"/>
      <w:lvlText w:val="•"/>
      <w:lvlJc w:val="left"/>
      <w:pPr>
        <w:ind w:left="3700" w:hanging="360"/>
      </w:pPr>
    </w:lvl>
    <w:lvl w:ilvl="4">
      <w:numFmt w:val="bullet"/>
      <w:lvlText w:val="•"/>
      <w:lvlJc w:val="left"/>
      <w:pPr>
        <w:ind w:left="4760" w:hanging="360"/>
      </w:pPr>
    </w:lvl>
    <w:lvl w:ilvl="5">
      <w:numFmt w:val="bullet"/>
      <w:lvlText w:val="•"/>
      <w:lvlJc w:val="left"/>
      <w:pPr>
        <w:ind w:left="5820" w:hanging="360"/>
      </w:pPr>
    </w:lvl>
    <w:lvl w:ilvl="6">
      <w:numFmt w:val="bullet"/>
      <w:lvlText w:val="•"/>
      <w:lvlJc w:val="left"/>
      <w:pPr>
        <w:ind w:left="6880" w:hanging="360"/>
      </w:pPr>
    </w:lvl>
    <w:lvl w:ilvl="7">
      <w:numFmt w:val="bullet"/>
      <w:lvlText w:val="•"/>
      <w:lvlJc w:val="left"/>
      <w:pPr>
        <w:ind w:left="7940" w:hanging="360"/>
      </w:pPr>
    </w:lvl>
    <w:lvl w:ilvl="8">
      <w:numFmt w:val="bullet"/>
      <w:lvlText w:val="•"/>
      <w:lvlJc w:val="left"/>
      <w:pPr>
        <w:ind w:left="9000" w:hanging="360"/>
      </w:pPr>
    </w:lvl>
  </w:abstractNum>
  <w:abstractNum w:abstractNumId="13" w15:restartNumberingAfterBreak="0">
    <w:nsid w:val="00000406"/>
    <w:multiLevelType w:val="multilevel"/>
    <w:tmpl w:val="76261218"/>
    <w:lvl w:ilvl="0">
      <w:start w:val="1"/>
      <w:numFmt w:val="lowerLetter"/>
      <w:lvlText w:val="%1."/>
      <w:lvlJc w:val="left"/>
      <w:pPr>
        <w:ind w:left="519" w:hanging="360"/>
      </w:pPr>
      <w:rPr>
        <w:b w:val="0"/>
        <w:bCs w:val="0"/>
        <w:i w:val="0"/>
        <w:iCs w:val="0"/>
        <w:w w:val="99"/>
        <w:sz w:val="22"/>
        <w:szCs w:val="22"/>
      </w:rPr>
    </w:lvl>
    <w:lvl w:ilvl="1">
      <w:numFmt w:val="bullet"/>
      <w:lvlText w:val="•"/>
      <w:lvlJc w:val="left"/>
      <w:pPr>
        <w:ind w:left="1580" w:hanging="360"/>
      </w:pPr>
    </w:lvl>
    <w:lvl w:ilvl="2">
      <w:numFmt w:val="bullet"/>
      <w:lvlText w:val="•"/>
      <w:lvlJc w:val="left"/>
      <w:pPr>
        <w:ind w:left="2640" w:hanging="360"/>
      </w:pPr>
    </w:lvl>
    <w:lvl w:ilvl="3">
      <w:numFmt w:val="bullet"/>
      <w:lvlText w:val="•"/>
      <w:lvlJc w:val="left"/>
      <w:pPr>
        <w:ind w:left="3700" w:hanging="360"/>
      </w:pPr>
    </w:lvl>
    <w:lvl w:ilvl="4">
      <w:numFmt w:val="bullet"/>
      <w:lvlText w:val="•"/>
      <w:lvlJc w:val="left"/>
      <w:pPr>
        <w:ind w:left="4760" w:hanging="360"/>
      </w:pPr>
    </w:lvl>
    <w:lvl w:ilvl="5">
      <w:numFmt w:val="bullet"/>
      <w:lvlText w:val="•"/>
      <w:lvlJc w:val="left"/>
      <w:pPr>
        <w:ind w:left="5820" w:hanging="360"/>
      </w:pPr>
    </w:lvl>
    <w:lvl w:ilvl="6">
      <w:numFmt w:val="bullet"/>
      <w:lvlText w:val="•"/>
      <w:lvlJc w:val="left"/>
      <w:pPr>
        <w:ind w:left="6880" w:hanging="360"/>
      </w:pPr>
    </w:lvl>
    <w:lvl w:ilvl="7">
      <w:numFmt w:val="bullet"/>
      <w:lvlText w:val="•"/>
      <w:lvlJc w:val="left"/>
      <w:pPr>
        <w:ind w:left="7940" w:hanging="360"/>
      </w:pPr>
    </w:lvl>
    <w:lvl w:ilvl="8">
      <w:numFmt w:val="bullet"/>
      <w:lvlText w:val="•"/>
      <w:lvlJc w:val="left"/>
      <w:pPr>
        <w:ind w:left="9000" w:hanging="360"/>
      </w:pPr>
    </w:lvl>
  </w:abstractNum>
  <w:abstractNum w:abstractNumId="14"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2D1F32E7"/>
    <w:multiLevelType w:val="hybridMultilevel"/>
    <w:tmpl w:val="E5D0E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C76E4"/>
    <w:multiLevelType w:val="hybridMultilevel"/>
    <w:tmpl w:val="F496D3C6"/>
    <w:lvl w:ilvl="0" w:tplc="DC986FFE">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9ED6A6E"/>
    <w:multiLevelType w:val="hybridMultilevel"/>
    <w:tmpl w:val="DF182084"/>
    <w:lvl w:ilvl="0" w:tplc="AC1E6C7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178081742">
    <w:abstractNumId w:val="9"/>
  </w:num>
  <w:num w:numId="2" w16cid:durableId="1830244305">
    <w:abstractNumId w:val="7"/>
  </w:num>
  <w:num w:numId="3" w16cid:durableId="1022241685">
    <w:abstractNumId w:val="6"/>
  </w:num>
  <w:num w:numId="4" w16cid:durableId="1908375449">
    <w:abstractNumId w:val="5"/>
  </w:num>
  <w:num w:numId="5" w16cid:durableId="1410230433">
    <w:abstractNumId w:val="4"/>
  </w:num>
  <w:num w:numId="6" w16cid:durableId="567810652">
    <w:abstractNumId w:val="8"/>
  </w:num>
  <w:num w:numId="7" w16cid:durableId="364792787">
    <w:abstractNumId w:val="3"/>
  </w:num>
  <w:num w:numId="8" w16cid:durableId="1456631455">
    <w:abstractNumId w:val="2"/>
  </w:num>
  <w:num w:numId="9" w16cid:durableId="2028213584">
    <w:abstractNumId w:val="1"/>
  </w:num>
  <w:num w:numId="10" w16cid:durableId="1151288493">
    <w:abstractNumId w:val="0"/>
  </w:num>
  <w:num w:numId="11" w16cid:durableId="1414741454">
    <w:abstractNumId w:val="0"/>
  </w:num>
  <w:num w:numId="12" w16cid:durableId="1361667908">
    <w:abstractNumId w:val="19"/>
  </w:num>
  <w:num w:numId="13" w16cid:durableId="1746292864">
    <w:abstractNumId w:val="15"/>
  </w:num>
  <w:num w:numId="14" w16cid:durableId="156069549">
    <w:abstractNumId w:val="23"/>
  </w:num>
  <w:num w:numId="15" w16cid:durableId="625308762">
    <w:abstractNumId w:val="21"/>
  </w:num>
  <w:num w:numId="16" w16cid:durableId="935018678">
    <w:abstractNumId w:val="22"/>
  </w:num>
  <w:num w:numId="17" w16cid:durableId="2070028686">
    <w:abstractNumId w:val="14"/>
  </w:num>
  <w:num w:numId="18" w16cid:durableId="2055619467">
    <w:abstractNumId w:val="17"/>
  </w:num>
  <w:num w:numId="19" w16cid:durableId="85811697">
    <w:abstractNumId w:val="12"/>
  </w:num>
  <w:num w:numId="20" w16cid:durableId="1200817888">
    <w:abstractNumId w:val="13"/>
  </w:num>
  <w:num w:numId="21" w16cid:durableId="2045471805">
    <w:abstractNumId w:val="11"/>
  </w:num>
  <w:num w:numId="22" w16cid:durableId="626861993">
    <w:abstractNumId w:val="10"/>
  </w:num>
  <w:num w:numId="23" w16cid:durableId="2104452846">
    <w:abstractNumId w:val="20"/>
  </w:num>
  <w:num w:numId="24" w16cid:durableId="362948729">
    <w:abstractNumId w:val="18"/>
  </w:num>
  <w:num w:numId="25" w16cid:durableId="1350838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wZic0NDMzNLczNzSyUdpeDU4uLM/DyQAsNaADWt9pYsAAAA"/>
  </w:docVars>
  <w:rsids>
    <w:rsidRoot w:val="003F6A45"/>
    <w:rsid w:val="00007231"/>
    <w:rsid w:val="00023A7A"/>
    <w:rsid w:val="00053346"/>
    <w:rsid w:val="00067621"/>
    <w:rsid w:val="00084466"/>
    <w:rsid w:val="000E3BEC"/>
    <w:rsid w:val="000E541F"/>
    <w:rsid w:val="000F04A7"/>
    <w:rsid w:val="000F7489"/>
    <w:rsid w:val="00106171"/>
    <w:rsid w:val="00106DA1"/>
    <w:rsid w:val="00122EB3"/>
    <w:rsid w:val="00132CA6"/>
    <w:rsid w:val="0014571A"/>
    <w:rsid w:val="00153EFD"/>
    <w:rsid w:val="00163757"/>
    <w:rsid w:val="00170D87"/>
    <w:rsid w:val="00177D49"/>
    <w:rsid w:val="001817A4"/>
    <w:rsid w:val="00182189"/>
    <w:rsid w:val="00183022"/>
    <w:rsid w:val="001979A0"/>
    <w:rsid w:val="001C065C"/>
    <w:rsid w:val="002506F6"/>
    <w:rsid w:val="002731CB"/>
    <w:rsid w:val="0028051C"/>
    <w:rsid w:val="002A4748"/>
    <w:rsid w:val="002A6455"/>
    <w:rsid w:val="002A70D9"/>
    <w:rsid w:val="002B660E"/>
    <w:rsid w:val="002B7443"/>
    <w:rsid w:val="002C30AF"/>
    <w:rsid w:val="002C4808"/>
    <w:rsid w:val="002C51BC"/>
    <w:rsid w:val="002D7520"/>
    <w:rsid w:val="002E2CA2"/>
    <w:rsid w:val="002E5125"/>
    <w:rsid w:val="00307C9E"/>
    <w:rsid w:val="00321A19"/>
    <w:rsid w:val="0035045F"/>
    <w:rsid w:val="00374A2D"/>
    <w:rsid w:val="0037667F"/>
    <w:rsid w:val="00382AB6"/>
    <w:rsid w:val="00383712"/>
    <w:rsid w:val="003C2647"/>
    <w:rsid w:val="003C3CA5"/>
    <w:rsid w:val="003C62D6"/>
    <w:rsid w:val="003D2399"/>
    <w:rsid w:val="003E4A92"/>
    <w:rsid w:val="003F26A5"/>
    <w:rsid w:val="003F6A45"/>
    <w:rsid w:val="0040289D"/>
    <w:rsid w:val="00432346"/>
    <w:rsid w:val="00447F3A"/>
    <w:rsid w:val="00466873"/>
    <w:rsid w:val="004759D9"/>
    <w:rsid w:val="00486FA4"/>
    <w:rsid w:val="0049068A"/>
    <w:rsid w:val="00493D23"/>
    <w:rsid w:val="004A3FC8"/>
    <w:rsid w:val="004B2C40"/>
    <w:rsid w:val="004B5327"/>
    <w:rsid w:val="00503B57"/>
    <w:rsid w:val="0051121D"/>
    <w:rsid w:val="005145BB"/>
    <w:rsid w:val="00517BFD"/>
    <w:rsid w:val="0054471F"/>
    <w:rsid w:val="005461F3"/>
    <w:rsid w:val="00547118"/>
    <w:rsid w:val="00547AC9"/>
    <w:rsid w:val="0057762A"/>
    <w:rsid w:val="00592740"/>
    <w:rsid w:val="005A7F6F"/>
    <w:rsid w:val="005C2BDD"/>
    <w:rsid w:val="005C2CF8"/>
    <w:rsid w:val="005C47A8"/>
    <w:rsid w:val="005E406E"/>
    <w:rsid w:val="005F0B12"/>
    <w:rsid w:val="005F497D"/>
    <w:rsid w:val="005F5F51"/>
    <w:rsid w:val="00601C69"/>
    <w:rsid w:val="00616BCC"/>
    <w:rsid w:val="00624261"/>
    <w:rsid w:val="00637CA9"/>
    <w:rsid w:val="00646AF9"/>
    <w:rsid w:val="00656AB8"/>
    <w:rsid w:val="006609B6"/>
    <w:rsid w:val="006662EF"/>
    <w:rsid w:val="006711D3"/>
    <w:rsid w:val="0068699D"/>
    <w:rsid w:val="006A353C"/>
    <w:rsid w:val="006A56FC"/>
    <w:rsid w:val="006B2D1C"/>
    <w:rsid w:val="006C1E1F"/>
    <w:rsid w:val="006C4B92"/>
    <w:rsid w:val="006E6FB5"/>
    <w:rsid w:val="0070486D"/>
    <w:rsid w:val="007050F5"/>
    <w:rsid w:val="0071140F"/>
    <w:rsid w:val="00722C8F"/>
    <w:rsid w:val="007477DC"/>
    <w:rsid w:val="00763DE9"/>
    <w:rsid w:val="00766690"/>
    <w:rsid w:val="00781234"/>
    <w:rsid w:val="007B7AF3"/>
    <w:rsid w:val="007E5B8D"/>
    <w:rsid w:val="007E6E1E"/>
    <w:rsid w:val="007F07FF"/>
    <w:rsid w:val="008073EB"/>
    <w:rsid w:val="00843027"/>
    <w:rsid w:val="00847A5C"/>
    <w:rsid w:val="00856AFD"/>
    <w:rsid w:val="00865B25"/>
    <w:rsid w:val="00873917"/>
    <w:rsid w:val="00874EBC"/>
    <w:rsid w:val="0087514A"/>
    <w:rsid w:val="00890CA9"/>
    <w:rsid w:val="008C321D"/>
    <w:rsid w:val="008D0A90"/>
    <w:rsid w:val="008F1195"/>
    <w:rsid w:val="009211D3"/>
    <w:rsid w:val="00921395"/>
    <w:rsid w:val="00933173"/>
    <w:rsid w:val="00934124"/>
    <w:rsid w:val="00952A27"/>
    <w:rsid w:val="009530A7"/>
    <w:rsid w:val="00960721"/>
    <w:rsid w:val="00977FA5"/>
    <w:rsid w:val="009B1CE9"/>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227CA"/>
    <w:rsid w:val="00B567E3"/>
    <w:rsid w:val="00BA5D79"/>
    <w:rsid w:val="00BE30FD"/>
    <w:rsid w:val="00C05C55"/>
    <w:rsid w:val="00C076C6"/>
    <w:rsid w:val="00C1247F"/>
    <w:rsid w:val="00C137DA"/>
    <w:rsid w:val="00C166D0"/>
    <w:rsid w:val="00C17764"/>
    <w:rsid w:val="00C20F69"/>
    <w:rsid w:val="00C3113F"/>
    <w:rsid w:val="00C32BB8"/>
    <w:rsid w:val="00C4536F"/>
    <w:rsid w:val="00C46ADA"/>
    <w:rsid w:val="00C54022"/>
    <w:rsid w:val="00C8438D"/>
    <w:rsid w:val="00C85025"/>
    <w:rsid w:val="00C918BD"/>
    <w:rsid w:val="00C94E59"/>
    <w:rsid w:val="00CA680A"/>
    <w:rsid w:val="00CD5DEC"/>
    <w:rsid w:val="00CE0951"/>
    <w:rsid w:val="00CF68A2"/>
    <w:rsid w:val="00CF6FAD"/>
    <w:rsid w:val="00D10C7A"/>
    <w:rsid w:val="00D16E53"/>
    <w:rsid w:val="00D3779E"/>
    <w:rsid w:val="00D378BF"/>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178"/>
    <w:rsid w:val="00E81FE1"/>
    <w:rsid w:val="00E90203"/>
    <w:rsid w:val="00EA0405"/>
    <w:rsid w:val="00ED35D7"/>
    <w:rsid w:val="00ED61AB"/>
    <w:rsid w:val="00ED72B5"/>
    <w:rsid w:val="00EF4C32"/>
    <w:rsid w:val="00EF69CD"/>
    <w:rsid w:val="00F02126"/>
    <w:rsid w:val="00F07AB3"/>
    <w:rsid w:val="00F262AB"/>
    <w:rsid w:val="00F45658"/>
    <w:rsid w:val="00F651F6"/>
    <w:rsid w:val="00F7284D"/>
    <w:rsid w:val="00F87FB8"/>
    <w:rsid w:val="00F94A2B"/>
    <w:rsid w:val="00FA00C6"/>
    <w:rsid w:val="00FC5F9E"/>
    <w:rsid w:val="00FE10AD"/>
    <w:rsid w:val="00FE172C"/>
    <w:rsid w:val="00FE52B9"/>
    <w:rsid w:val="00FE5640"/>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TableParagraph">
    <w:name w:val="Table Paragraph"/>
    <w:basedOn w:val="Normal"/>
    <w:uiPriority w:val="1"/>
    <w:qFormat/>
    <w:rsid w:val="00D16E53"/>
    <w:pPr>
      <w:widowControl w:val="0"/>
      <w:adjustRightInd w:val="0"/>
      <w:ind w:left="132"/>
    </w:pPr>
    <w:rPr>
      <w:rFonts w:eastAsiaTheme="minorEastAsia" w:cs="Arial"/>
      <w:sz w:val="24"/>
    </w:rPr>
  </w:style>
  <w:style w:type="paragraph" w:styleId="ListParagraph">
    <w:name w:val="List Paragraph"/>
    <w:basedOn w:val="Normal"/>
    <w:uiPriority w:val="34"/>
    <w:qFormat/>
    <w:rsid w:val="002731CB"/>
    <w:pPr>
      <w:widowControl w:val="0"/>
      <w:adjustRightInd w:val="0"/>
      <w:ind w:left="519" w:hanging="359"/>
    </w:pPr>
    <w:rPr>
      <w:rFonts w:eastAsiaTheme="minorEastAsia" w:cs="Arial"/>
      <w:sz w:val="24"/>
    </w:rPr>
  </w:style>
  <w:style w:type="character" w:customStyle="1" w:styleId="citation-part">
    <w:name w:val="citation-part"/>
    <w:rsid w:val="002731CB"/>
  </w:style>
  <w:style w:type="character" w:customStyle="1" w:styleId="docsum-pmid">
    <w:name w:val="docsum-pmid"/>
    <w:rsid w:val="002731CB"/>
  </w:style>
  <w:style w:type="character" w:customStyle="1" w:styleId="id-label">
    <w:name w:val="id-label"/>
    <w:rsid w:val="002731CB"/>
  </w:style>
  <w:style w:type="character" w:customStyle="1" w:styleId="docsum-journal-citation">
    <w:name w:val="docsum-journal-citation"/>
    <w:basedOn w:val="DefaultParagraphFont"/>
    <w:rsid w:val="00374A2D"/>
  </w:style>
  <w:style w:type="table" w:customStyle="1" w:styleId="TableGrid1">
    <w:name w:val="Table Grid1"/>
    <w:basedOn w:val="TableNormal"/>
    <w:next w:val="TableGrid"/>
    <w:uiPriority w:val="39"/>
    <w:rsid w:val="00BE30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8C321D"/>
    <w:pPr>
      <w:tabs>
        <w:tab w:val="right" w:leader="dot" w:pos="9360"/>
      </w:tabs>
      <w:suppressAutoHyphens/>
      <w:autoSpaceDE/>
      <w:autoSpaceDN/>
      <w:ind w:left="1440" w:right="720" w:hanging="1440"/>
    </w:pPr>
    <w:rPr>
      <w:rFonts w:ascii="Univers" w:hAnsi="Univer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term=stein%2Bad%2B%5bau" TargetMode="External"/><Relationship Id="rId5" Type="http://schemas.openxmlformats.org/officeDocument/2006/relationships/styles" Target="styles.xml"/><Relationship Id="rId10" Type="http://schemas.openxmlformats.org/officeDocument/2006/relationships/hyperlink" Target="https://nam11.safelinks.protection.outlook.com/?url=https%3A%2F%2Fpubmed.ncbi.nlm.nih.gov%2F34113999%2F&amp;data=04%7C01%7Caryeh.stein%40emory.edu%7C623e18f56bbc4280046f08d93e153ce9%7Ce004fb9cb0a4424fbcd0322606d5df38%7C0%7C0%7C637609083211266818%7CUnknown%7CTWFpbGZsb3d8eyJWIjoiMC4wLjAwMDAiLCJQIjoiV2luMzIiLCJBTiI6Ik1haWwiLCJXVCI6Mn0%3D%7C1000&amp;sdata=qZmy2Z9mCE5LnngddL94qhrhGMSowKY5erRAhHsxzXw%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18942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Stein, Aryeh D</cp:lastModifiedBy>
  <cp:revision>3</cp:revision>
  <cp:lastPrinted>2011-03-11T19:43:00Z</cp:lastPrinted>
  <dcterms:created xsi:type="dcterms:W3CDTF">2023-10-23T13:22:00Z</dcterms:created>
  <dcterms:modified xsi:type="dcterms:W3CDTF">2023-10-23T13:39:00Z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